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05852">
      <w:pPr>
        <w:jc w:val="center"/>
        <w:rPr>
          <w:rFonts w:hint="eastAsia" w:ascii="黑体" w:hAnsi="宋体" w:eastAsia="黑体" w:cs="Times New Roman"/>
          <w:b/>
          <w:bCs/>
          <w:kern w:val="2"/>
          <w:sz w:val="52"/>
          <w:szCs w:val="72"/>
          <w:lang w:val="zh-CN" w:eastAsia="zh-CN" w:bidi="ar-SA"/>
        </w:rPr>
      </w:pPr>
      <w:r>
        <w:rPr>
          <w:rFonts w:hint="eastAsia" w:ascii="黑体" w:hAnsi="宋体" w:eastAsia="黑体" w:cs="Times New Roman"/>
          <w:b/>
          <w:bCs/>
          <w:kern w:val="2"/>
          <w:sz w:val="52"/>
          <w:szCs w:val="72"/>
          <w:lang w:val="zh-CN" w:eastAsia="zh-CN" w:bidi="ar-SA"/>
        </w:rPr>
        <w:t>浙江中医药大学附属第三医院</w:t>
      </w:r>
    </w:p>
    <w:p w14:paraId="7349CE9B">
      <w:pPr>
        <w:pStyle w:val="3"/>
        <w:rPr>
          <w:rFonts w:ascii="黑体" w:hAnsi="宋体" w:eastAsia="黑体"/>
          <w:sz w:val="52"/>
          <w:szCs w:val="72"/>
          <w:lang w:val="zh-CN"/>
        </w:rPr>
      </w:pPr>
      <w:r>
        <w:rPr>
          <w:rFonts w:hint="eastAsia" w:ascii="黑体" w:hAnsi="宋体" w:eastAsia="黑体"/>
          <w:sz w:val="52"/>
          <w:szCs w:val="72"/>
        </w:rPr>
        <w:t>竞争性磋商</w:t>
      </w:r>
      <w:r>
        <w:rPr>
          <w:rFonts w:hint="eastAsia" w:ascii="黑体" w:hAnsi="宋体" w:eastAsia="黑体"/>
          <w:sz w:val="52"/>
          <w:szCs w:val="72"/>
          <w:lang w:val="zh-CN"/>
        </w:rPr>
        <w:t>文件</w:t>
      </w:r>
    </w:p>
    <w:p w14:paraId="1F459CE6">
      <w:pPr>
        <w:autoSpaceDE w:val="0"/>
        <w:autoSpaceDN w:val="0"/>
        <w:adjustRightInd w:val="0"/>
        <w:ind w:firstLine="2340" w:firstLineChars="650"/>
        <w:rPr>
          <w:rFonts w:ascii="黑体" w:hAnsi="宋体" w:eastAsia="黑体"/>
          <w:sz w:val="36"/>
          <w:szCs w:val="36"/>
          <w:lang w:val="zh-CN"/>
        </w:rPr>
      </w:pPr>
    </w:p>
    <w:p w14:paraId="1771B8E9">
      <w:pPr>
        <w:pStyle w:val="11"/>
        <w:rPr>
          <w:lang w:val="zh-CN"/>
        </w:rPr>
      </w:pPr>
    </w:p>
    <w:p w14:paraId="560567FB">
      <w:pPr>
        <w:autoSpaceDE w:val="0"/>
        <w:autoSpaceDN w:val="0"/>
        <w:adjustRightInd w:val="0"/>
        <w:ind w:firstLine="1600" w:firstLineChars="500"/>
        <w:rPr>
          <w:rFonts w:hint="default" w:ascii="黑体" w:hAnsi="宋体" w:eastAsia="黑体"/>
          <w:b/>
          <w:bCs/>
          <w:sz w:val="32"/>
          <w:szCs w:val="32"/>
          <w:lang w:val="en-US" w:eastAsia="zh-CN"/>
        </w:rPr>
      </w:pPr>
      <w:r>
        <w:rPr>
          <w:rFonts w:hint="eastAsia" w:ascii="黑体" w:hAnsi="宋体" w:eastAsia="黑体"/>
          <w:sz w:val="32"/>
          <w:szCs w:val="32"/>
          <w:lang w:val="zh-CN"/>
        </w:rPr>
        <w:t>招标编号：</w:t>
      </w:r>
      <w:r>
        <w:rPr>
          <w:rFonts w:hint="eastAsia" w:ascii="黑体" w:hAnsi="宋体" w:eastAsia="黑体"/>
          <w:b/>
          <w:bCs/>
          <w:sz w:val="32"/>
          <w:szCs w:val="32"/>
        </w:rPr>
        <w:t>ZSYYCGZX</w:t>
      </w:r>
      <w:r>
        <w:rPr>
          <w:rFonts w:ascii="黑体" w:hAnsi="宋体" w:eastAsia="黑体"/>
          <w:b/>
          <w:bCs/>
          <w:sz w:val="32"/>
          <w:szCs w:val="32"/>
        </w:rPr>
        <w:t>202</w:t>
      </w:r>
      <w:r>
        <w:rPr>
          <w:rFonts w:hint="eastAsia" w:ascii="黑体" w:hAnsi="宋体" w:eastAsia="黑体"/>
          <w:b/>
          <w:bCs/>
          <w:sz w:val="32"/>
          <w:szCs w:val="32"/>
        </w:rPr>
        <w:t>50</w:t>
      </w:r>
      <w:r>
        <w:rPr>
          <w:rFonts w:hint="eastAsia" w:ascii="黑体" w:hAnsi="宋体" w:eastAsia="黑体"/>
          <w:b/>
          <w:bCs/>
          <w:sz w:val="32"/>
          <w:szCs w:val="32"/>
          <w:lang w:val="en-US" w:eastAsia="zh-CN"/>
        </w:rPr>
        <w:t>903</w:t>
      </w:r>
    </w:p>
    <w:p w14:paraId="43BCBCA6">
      <w:pPr>
        <w:pStyle w:val="3"/>
        <w:rPr>
          <w:rFonts w:hint="eastAsia" w:ascii="黑体" w:hAnsi="宋体" w:eastAsia="黑体" w:cstheme="minorBidi"/>
          <w:b w:val="0"/>
          <w:bCs w:val="0"/>
          <w:kern w:val="2"/>
          <w:sz w:val="32"/>
          <w:szCs w:val="32"/>
          <w:lang w:val="zh-CN" w:eastAsia="zh-CN" w:bidi="ar-SA"/>
        </w:rPr>
      </w:pPr>
      <w:r>
        <w:rPr>
          <w:rFonts w:hint="eastAsia" w:ascii="黑体" w:hAnsi="宋体" w:eastAsia="黑体"/>
          <w:sz w:val="32"/>
          <w:szCs w:val="32"/>
          <w:lang w:val="en-US" w:eastAsia="zh-CN"/>
        </w:rPr>
        <w:t xml:space="preserve">    </w:t>
      </w:r>
      <w:r>
        <w:rPr>
          <w:rFonts w:hint="eastAsia" w:ascii="黑体" w:hAnsi="宋体" w:eastAsia="黑体" w:cstheme="minorBidi"/>
          <w:b w:val="0"/>
          <w:bCs w:val="0"/>
          <w:kern w:val="2"/>
          <w:sz w:val="32"/>
          <w:szCs w:val="32"/>
          <w:lang w:val="en-US" w:eastAsia="zh-CN" w:bidi="ar-SA"/>
        </w:rPr>
        <w:t xml:space="preserve">    </w:t>
      </w:r>
      <w:r>
        <w:rPr>
          <w:rFonts w:hint="eastAsia" w:ascii="黑体" w:hAnsi="宋体" w:eastAsia="黑体" w:cstheme="minorBidi"/>
          <w:b w:val="0"/>
          <w:bCs w:val="0"/>
          <w:kern w:val="2"/>
          <w:sz w:val="32"/>
          <w:szCs w:val="32"/>
          <w:lang w:val="zh-CN" w:eastAsia="zh-CN" w:bidi="ar-SA"/>
        </w:rPr>
        <w:t>招标项目：数据中心和网络安全维保服务项目</w:t>
      </w:r>
    </w:p>
    <w:p w14:paraId="6586447A">
      <w:pPr>
        <w:autoSpaceDE w:val="0"/>
        <w:autoSpaceDN w:val="0"/>
        <w:adjustRightInd w:val="0"/>
        <w:ind w:firstLine="2080" w:firstLineChars="650"/>
        <w:rPr>
          <w:rFonts w:hint="eastAsia" w:ascii="黑体" w:hAnsi="宋体" w:eastAsia="黑体" w:cstheme="minorBidi"/>
          <w:b w:val="0"/>
          <w:bCs w:val="0"/>
          <w:kern w:val="2"/>
          <w:sz w:val="32"/>
          <w:szCs w:val="32"/>
          <w:lang w:val="zh-CN" w:eastAsia="zh-CN" w:bidi="ar-SA"/>
        </w:rPr>
      </w:pPr>
    </w:p>
    <w:p w14:paraId="47B8BCA3">
      <w:pPr>
        <w:pStyle w:val="15"/>
        <w:rPr>
          <w:rFonts w:hint="eastAsia" w:ascii="黑体" w:hAnsi="宋体" w:eastAsia="黑体" w:cstheme="minorBidi"/>
          <w:b w:val="0"/>
          <w:bCs w:val="0"/>
          <w:kern w:val="2"/>
          <w:sz w:val="32"/>
          <w:szCs w:val="32"/>
          <w:lang w:val="zh-CN" w:eastAsia="zh-CN" w:bidi="ar-SA"/>
        </w:rPr>
      </w:pPr>
    </w:p>
    <w:p w14:paraId="41BE31A8">
      <w:pPr>
        <w:autoSpaceDE w:val="0"/>
        <w:autoSpaceDN w:val="0"/>
        <w:adjustRightInd w:val="0"/>
        <w:ind w:firstLine="480" w:firstLineChars="150"/>
        <w:rPr>
          <w:rFonts w:ascii="黑体" w:hAnsi="宋体" w:eastAsia="黑体"/>
          <w:sz w:val="32"/>
          <w:szCs w:val="32"/>
        </w:rPr>
      </w:pPr>
    </w:p>
    <w:p w14:paraId="4D396B97">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474C741F">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67541FD4">
      <w:pPr>
        <w:autoSpaceDE w:val="0"/>
        <w:autoSpaceDN w:val="0"/>
        <w:adjustRightInd w:val="0"/>
        <w:spacing w:after="468"/>
        <w:jc w:val="center"/>
        <w:rPr>
          <w:rFonts w:ascii="宋体" w:hAnsi="宋体"/>
          <w:sz w:val="18"/>
          <w:szCs w:val="18"/>
        </w:rPr>
      </w:pPr>
    </w:p>
    <w:p w14:paraId="03D6DD36">
      <w:pPr>
        <w:autoSpaceDE w:val="0"/>
        <w:autoSpaceDN w:val="0"/>
        <w:adjustRightInd w:val="0"/>
        <w:jc w:val="center"/>
        <w:rPr>
          <w:rFonts w:ascii="宋体" w:hAnsi="宋体"/>
          <w:sz w:val="44"/>
          <w:szCs w:val="44"/>
        </w:rPr>
      </w:pPr>
    </w:p>
    <w:p w14:paraId="5272B7F1">
      <w:pPr>
        <w:autoSpaceDE w:val="0"/>
        <w:autoSpaceDN w:val="0"/>
        <w:adjustRightInd w:val="0"/>
        <w:rPr>
          <w:rFonts w:ascii="宋体" w:hAnsi="宋体"/>
          <w:sz w:val="44"/>
          <w:szCs w:val="44"/>
        </w:rPr>
      </w:pPr>
    </w:p>
    <w:p w14:paraId="61B2B0E9">
      <w:pPr>
        <w:autoSpaceDE w:val="0"/>
        <w:autoSpaceDN w:val="0"/>
        <w:adjustRightInd w:val="0"/>
        <w:rPr>
          <w:rFonts w:ascii="宋体" w:hAnsi="宋体"/>
          <w:sz w:val="44"/>
          <w:szCs w:val="44"/>
        </w:rPr>
      </w:pPr>
    </w:p>
    <w:p w14:paraId="2CBF8BA2">
      <w:pPr>
        <w:autoSpaceDE w:val="0"/>
        <w:autoSpaceDN w:val="0"/>
        <w:adjustRightInd w:val="0"/>
        <w:rPr>
          <w:rFonts w:ascii="宋体" w:hAnsi="宋体"/>
          <w:sz w:val="44"/>
          <w:szCs w:val="44"/>
        </w:rPr>
      </w:pPr>
    </w:p>
    <w:p w14:paraId="5CEBE075">
      <w:pPr>
        <w:autoSpaceDE w:val="0"/>
        <w:autoSpaceDN w:val="0"/>
        <w:adjustRightInd w:val="0"/>
        <w:ind w:firstLine="800" w:firstLineChars="250"/>
        <w:rPr>
          <w:rFonts w:ascii="黑体" w:hAnsi="宋体" w:eastAsia="黑体"/>
          <w:sz w:val="32"/>
          <w:szCs w:val="32"/>
          <w:u w:val="single"/>
          <w:lang w:val="zh-CN"/>
        </w:rPr>
      </w:pPr>
      <w:r>
        <w:rPr>
          <w:rFonts w:hint="eastAsia" w:ascii="黑体" w:hAnsi="宋体" w:eastAsia="黑体"/>
          <w:sz w:val="32"/>
          <w:szCs w:val="32"/>
          <w:lang w:val="zh-CN"/>
        </w:rPr>
        <w:t>投标单位：</w:t>
      </w:r>
      <w:r>
        <w:rPr>
          <w:rFonts w:hint="eastAsia" w:ascii="黑体" w:hAnsi="宋体" w:eastAsia="黑体"/>
          <w:sz w:val="32"/>
          <w:szCs w:val="32"/>
          <w:u w:val="single"/>
          <w:lang w:val="zh-CN"/>
        </w:rPr>
        <w:t xml:space="preserve">                                    </w:t>
      </w:r>
    </w:p>
    <w:p w14:paraId="381CABF0">
      <w:pPr>
        <w:autoSpaceDE w:val="0"/>
        <w:autoSpaceDN w:val="0"/>
        <w:adjustRightInd w:val="0"/>
        <w:ind w:firstLine="525" w:firstLineChars="250"/>
        <w:rPr>
          <w:b/>
          <w:sz w:val="24"/>
        </w:rPr>
      </w:pPr>
      <w:r>
        <w:rPr>
          <w:rFonts w:hint="eastAsia"/>
          <w:lang w:val="zh-CN"/>
        </w:rPr>
        <w:t xml:space="preserve">  </w:t>
      </w:r>
      <w:r>
        <w:rPr>
          <w:rFonts w:hint="eastAsia" w:ascii="黑体" w:hAnsi="宋体" w:eastAsia="黑体"/>
          <w:sz w:val="32"/>
          <w:szCs w:val="32"/>
          <w:lang w:val="zh-CN"/>
        </w:rPr>
        <w:t>投标日期：</w:t>
      </w:r>
      <w:r>
        <w:rPr>
          <w:rFonts w:hint="eastAsia" w:ascii="黑体" w:hAnsi="宋体" w:eastAsia="黑体"/>
          <w:sz w:val="32"/>
          <w:szCs w:val="32"/>
          <w:u w:val="single"/>
          <w:lang w:val="zh-CN"/>
        </w:rPr>
        <w:t xml:space="preserve">                                    </w:t>
      </w:r>
    </w:p>
    <w:p w14:paraId="437C1899">
      <w:pPr>
        <w:rPr>
          <w:b/>
          <w:sz w:val="24"/>
        </w:rPr>
      </w:pPr>
    </w:p>
    <w:p w14:paraId="339AEEA0">
      <w:pPr>
        <w:autoSpaceDE w:val="0"/>
        <w:autoSpaceDN w:val="0"/>
        <w:adjustRightInd w:val="0"/>
        <w:jc w:val="center"/>
        <w:rPr>
          <w:rFonts w:hint="default" w:ascii="宋体" w:hAnsi="宋体" w:eastAsiaTheme="minorEastAsia"/>
          <w:b/>
          <w:bCs/>
          <w:sz w:val="32"/>
          <w:szCs w:val="32"/>
          <w:lang w:val="en-US" w:eastAsia="zh-CN"/>
        </w:rPr>
      </w:pPr>
      <w:r>
        <w:rPr>
          <w:rFonts w:hint="eastAsia" w:ascii="宋体" w:hAnsi="宋体"/>
          <w:b/>
          <w:bCs/>
          <w:sz w:val="32"/>
          <w:szCs w:val="32"/>
          <w:lang w:val="zh-CN"/>
        </w:rPr>
        <w:t>第一章 投标</w:t>
      </w:r>
      <w:r>
        <w:rPr>
          <w:rFonts w:hint="eastAsia" w:ascii="宋体" w:hAnsi="宋体"/>
          <w:b/>
          <w:bCs/>
          <w:sz w:val="32"/>
          <w:szCs w:val="32"/>
          <w:lang w:val="en-US" w:eastAsia="zh-CN"/>
        </w:rPr>
        <w:t>概况</w:t>
      </w:r>
    </w:p>
    <w:p w14:paraId="37334489">
      <w:pPr>
        <w:autoSpaceDE w:val="0"/>
        <w:autoSpaceDN w:val="0"/>
        <w:adjustRightInd w:val="0"/>
        <w:jc w:val="left"/>
        <w:rPr>
          <w:rFonts w:ascii="宋体" w:hAnsi="宋体"/>
          <w:sz w:val="32"/>
          <w:szCs w:val="32"/>
          <w:lang w:val="zh-CN"/>
        </w:rPr>
      </w:pPr>
    </w:p>
    <w:p w14:paraId="44E21AD4">
      <w:pPr>
        <w:pStyle w:val="3"/>
        <w:jc w:val="left"/>
        <w:rPr>
          <w:rFonts w:ascii="宋体" w:hAnsi="宋体" w:eastAsiaTheme="minorEastAsia" w:cstheme="minorBidi"/>
          <w:b w:val="0"/>
          <w:bCs w:val="0"/>
          <w:spacing w:val="0"/>
          <w:kern w:val="2"/>
          <w:sz w:val="24"/>
          <w:szCs w:val="22"/>
          <w:lang w:val="en-US"/>
        </w:rPr>
      </w:pPr>
      <w:r>
        <w:rPr>
          <w:rFonts w:hint="eastAsia" w:ascii="宋体" w:hAnsi="宋体" w:eastAsia="宋体"/>
          <w:b w:val="0"/>
          <w:bCs w:val="0"/>
          <w:sz w:val="24"/>
          <w:lang w:val="en-US"/>
        </w:rPr>
        <w:t xml:space="preserve">   </w:t>
      </w:r>
      <w:r>
        <w:rPr>
          <w:rFonts w:hint="eastAsia" w:ascii="宋体" w:hAnsi="宋体" w:eastAsiaTheme="minorEastAsia" w:cstheme="minorBidi"/>
          <w:b w:val="0"/>
          <w:bCs w:val="0"/>
          <w:spacing w:val="0"/>
          <w:kern w:val="2"/>
          <w:sz w:val="24"/>
          <w:szCs w:val="22"/>
          <w:lang w:val="en-US"/>
        </w:rPr>
        <w:t>根据浙中医大三院医院采购管理文件的要求,对</w:t>
      </w:r>
      <w:r>
        <w:rPr>
          <w:rFonts w:hint="eastAsia" w:ascii="黑体" w:hAnsi="宋体" w:eastAsia="黑体" w:cs="Times New Roman"/>
          <w:b/>
          <w:bCs/>
          <w:kern w:val="2"/>
          <w:sz w:val="24"/>
          <w:szCs w:val="36"/>
          <w:lang w:val="zh-CN" w:eastAsia="zh-CN" w:bidi="ar-SA"/>
        </w:rPr>
        <w:t>数据中心和网络安全维保服务项目</w:t>
      </w:r>
      <w:r>
        <w:rPr>
          <w:rFonts w:hint="eastAsia" w:ascii="宋体" w:hAnsi="宋体" w:eastAsiaTheme="minorEastAsia" w:cstheme="minorBidi"/>
          <w:b w:val="0"/>
          <w:bCs w:val="0"/>
          <w:spacing w:val="0"/>
          <w:kern w:val="2"/>
          <w:sz w:val="24"/>
          <w:szCs w:val="22"/>
          <w:lang w:val="en-US"/>
        </w:rPr>
        <w:t>进行竞争性磋商。投标单位在投标之前必须认真阅读本磋商文件的说明、表格、条件及规范等所有内容，投标方因未能遵循此要求而造成的对本磋商文件所要求投标方提供的任何资料、信息、数据的遗漏或任何非针对磋商文件要求项目的报价，均须自担风险并承担可能导致其投标文件被招标方拒绝的后果。</w:t>
      </w:r>
    </w:p>
    <w:p w14:paraId="2F544B29">
      <w:pPr>
        <w:numPr>
          <w:ilvl w:val="0"/>
          <w:numId w:val="1"/>
        </w:numPr>
        <w:rPr>
          <w:rFonts w:ascii="宋体" w:hAnsi="宋体"/>
          <w:sz w:val="24"/>
        </w:rPr>
      </w:pPr>
      <w:r>
        <w:rPr>
          <w:rFonts w:hint="eastAsia" w:ascii="宋体" w:hAnsi="宋体"/>
          <w:sz w:val="24"/>
        </w:rPr>
        <w:t>项目编号:</w:t>
      </w:r>
      <w:r>
        <w:rPr>
          <w:rFonts w:hint="eastAsia" w:ascii="黑体" w:hAnsi="宋体" w:eastAsia="黑体"/>
          <w:sz w:val="32"/>
          <w:szCs w:val="32"/>
          <w:lang w:val="zh-CN"/>
        </w:rPr>
        <w:t xml:space="preserve"> </w:t>
      </w:r>
      <w:r>
        <w:rPr>
          <w:rFonts w:hint="eastAsia" w:ascii="宋体" w:hAnsi="宋体"/>
          <w:b/>
          <w:bCs/>
          <w:sz w:val="24"/>
          <w:u w:val="single"/>
        </w:rPr>
        <w:t>ZSYYCGZX</w:t>
      </w:r>
      <w:r>
        <w:rPr>
          <w:rFonts w:ascii="宋体" w:hAnsi="宋体"/>
          <w:b/>
          <w:bCs/>
          <w:sz w:val="24"/>
          <w:u w:val="single"/>
        </w:rPr>
        <w:t>202</w:t>
      </w:r>
      <w:r>
        <w:rPr>
          <w:rFonts w:hint="eastAsia" w:ascii="宋体" w:hAnsi="宋体"/>
          <w:b/>
          <w:bCs/>
          <w:sz w:val="24"/>
          <w:u w:val="single"/>
        </w:rPr>
        <w:t>50</w:t>
      </w:r>
      <w:r>
        <w:rPr>
          <w:rFonts w:hint="eastAsia" w:ascii="宋体" w:hAnsi="宋体"/>
          <w:b/>
          <w:bCs/>
          <w:sz w:val="24"/>
          <w:u w:val="single"/>
          <w:lang w:val="en-US" w:eastAsia="zh-CN"/>
        </w:rPr>
        <w:t>9</w:t>
      </w:r>
      <w:r>
        <w:rPr>
          <w:rFonts w:hint="eastAsia" w:ascii="宋体" w:hAnsi="宋体"/>
          <w:b/>
          <w:bCs/>
          <w:sz w:val="24"/>
          <w:u w:val="single"/>
        </w:rPr>
        <w:t>0</w:t>
      </w:r>
      <w:r>
        <w:rPr>
          <w:rFonts w:hint="eastAsia" w:ascii="宋体" w:hAnsi="宋体"/>
          <w:b/>
          <w:bCs/>
          <w:sz w:val="24"/>
          <w:u w:val="single"/>
          <w:lang w:val="en-US" w:eastAsia="zh-CN"/>
        </w:rPr>
        <w:t>3</w:t>
      </w:r>
    </w:p>
    <w:p w14:paraId="2B3670D1">
      <w:pPr>
        <w:numPr>
          <w:ilvl w:val="0"/>
          <w:numId w:val="1"/>
        </w:numPr>
        <w:rPr>
          <w:rFonts w:ascii="宋体" w:hAnsi="宋体"/>
          <w:sz w:val="24"/>
        </w:rPr>
      </w:pPr>
      <w:r>
        <w:rPr>
          <w:rFonts w:hint="eastAsia" w:ascii="宋体" w:hAnsi="宋体"/>
          <w:sz w:val="24"/>
        </w:rPr>
        <w:t>采购方式：</w:t>
      </w:r>
      <w:r>
        <w:rPr>
          <w:rFonts w:hint="eastAsia" w:ascii="宋体" w:hAnsi="宋体"/>
          <w:sz w:val="24"/>
          <w:u w:val="single"/>
        </w:rPr>
        <w:t>院内竞争性磋商</w:t>
      </w:r>
    </w:p>
    <w:p w14:paraId="7DC92728">
      <w:pPr>
        <w:numPr>
          <w:ilvl w:val="0"/>
          <w:numId w:val="1"/>
        </w:numPr>
        <w:rPr>
          <w:rFonts w:ascii="宋体" w:hAnsi="宋体"/>
          <w:sz w:val="24"/>
        </w:rPr>
      </w:pPr>
      <w:r>
        <w:rPr>
          <w:rFonts w:hint="eastAsia" w:ascii="宋体" w:hAnsi="宋体"/>
          <w:sz w:val="24"/>
        </w:rPr>
        <w:t>采购内容：</w:t>
      </w:r>
      <w:r>
        <w:rPr>
          <w:rFonts w:hint="eastAsia" w:cs="宋体"/>
          <w:kern w:val="0"/>
          <w:sz w:val="24"/>
          <w:u w:val="single"/>
        </w:rPr>
        <w:t>浙江中医药大学附属第三医院</w:t>
      </w:r>
      <w:r>
        <w:rPr>
          <w:rFonts w:hint="eastAsia" w:cs="宋体"/>
          <w:kern w:val="0"/>
          <w:sz w:val="24"/>
          <w:u w:val="single"/>
          <w:lang w:val="zh-CN" w:eastAsia="zh-CN"/>
        </w:rPr>
        <w:t>数据中心和网络安全维保服务项目</w:t>
      </w:r>
      <w:r>
        <w:rPr>
          <w:rFonts w:hint="eastAsia" w:cs="宋体"/>
          <w:kern w:val="0"/>
          <w:sz w:val="24"/>
        </w:rPr>
        <w:t>项目预算：</w:t>
      </w:r>
      <w:r>
        <w:rPr>
          <w:rFonts w:hint="eastAsia" w:cs="宋体"/>
          <w:b/>
          <w:bCs/>
          <w:kern w:val="0"/>
          <w:sz w:val="24"/>
          <w:u w:val="single"/>
        </w:rPr>
        <w:t>预算1</w:t>
      </w:r>
      <w:r>
        <w:rPr>
          <w:rFonts w:hint="eastAsia" w:cs="宋体"/>
          <w:b/>
          <w:bCs/>
          <w:kern w:val="0"/>
          <w:sz w:val="24"/>
          <w:u w:val="single"/>
          <w:lang w:val="en-US" w:eastAsia="zh-CN"/>
        </w:rPr>
        <w:t>7</w:t>
      </w:r>
      <w:r>
        <w:rPr>
          <w:rFonts w:hint="eastAsia" w:cs="宋体"/>
          <w:b/>
          <w:bCs/>
          <w:kern w:val="0"/>
          <w:sz w:val="24"/>
          <w:u w:val="single"/>
        </w:rPr>
        <w:t>万元</w:t>
      </w:r>
    </w:p>
    <w:p w14:paraId="02E2EA54">
      <w:pPr>
        <w:numPr>
          <w:ilvl w:val="0"/>
          <w:numId w:val="1"/>
        </w:numPr>
        <w:rPr>
          <w:rFonts w:ascii="宋体" w:hAnsi="宋体"/>
          <w:sz w:val="24"/>
        </w:rPr>
      </w:pPr>
      <w:r>
        <w:rPr>
          <w:rFonts w:hint="eastAsia" w:ascii="宋体" w:hAnsi="宋体"/>
          <w:sz w:val="24"/>
        </w:rPr>
        <w:t>投标单位的资格要求：</w:t>
      </w:r>
      <w:r>
        <w:rPr>
          <w:rFonts w:hint="eastAsia" w:ascii="宋体" w:hAnsi="宋体"/>
          <w:sz w:val="24"/>
          <w:u w:val="single"/>
        </w:rPr>
        <w:t>见第二章</w:t>
      </w:r>
    </w:p>
    <w:p w14:paraId="0BDA5F0C">
      <w:pPr>
        <w:numPr>
          <w:ilvl w:val="0"/>
          <w:numId w:val="1"/>
        </w:numPr>
        <w:rPr>
          <w:rFonts w:ascii="宋体" w:hAnsi="宋体"/>
          <w:sz w:val="24"/>
        </w:rPr>
      </w:pPr>
      <w:r>
        <w:rPr>
          <w:rFonts w:hint="eastAsia" w:ascii="宋体" w:hAnsi="宋体"/>
          <w:sz w:val="24"/>
        </w:rPr>
        <w:t>投标时间和地点：</w:t>
      </w:r>
    </w:p>
    <w:p w14:paraId="49DC3D5D">
      <w:pPr>
        <w:ind w:left="480"/>
        <w:rPr>
          <w:rFonts w:ascii="宋体" w:hAnsi="宋体"/>
          <w:sz w:val="24"/>
        </w:rPr>
      </w:pPr>
      <w:r>
        <w:rPr>
          <w:rFonts w:hint="eastAsia" w:ascii="宋体" w:hAnsi="宋体"/>
          <w:sz w:val="24"/>
        </w:rPr>
        <w:t>投标单位应于</w:t>
      </w:r>
      <w:r>
        <w:rPr>
          <w:rFonts w:hint="eastAsia" w:ascii="宋体" w:hAnsi="宋体"/>
          <w:b/>
          <w:bCs/>
          <w:sz w:val="24"/>
          <w:u w:val="single"/>
        </w:rPr>
        <w:t>2025年</w:t>
      </w:r>
      <w:r>
        <w:rPr>
          <w:rFonts w:hint="eastAsia" w:ascii="宋体" w:hAnsi="宋体"/>
          <w:b/>
          <w:bCs/>
          <w:sz w:val="24"/>
          <w:u w:val="single"/>
          <w:lang w:val="en-US" w:eastAsia="zh-CN"/>
        </w:rPr>
        <w:t>9</w:t>
      </w:r>
      <w:r>
        <w:rPr>
          <w:rFonts w:hint="eastAsia" w:ascii="宋体" w:hAnsi="宋体"/>
          <w:b/>
          <w:bCs/>
          <w:sz w:val="24"/>
          <w:u w:val="single"/>
        </w:rPr>
        <w:t>月</w:t>
      </w:r>
      <w:r>
        <w:rPr>
          <w:rFonts w:hint="eastAsia" w:ascii="宋体" w:hAnsi="宋体"/>
          <w:b/>
          <w:bCs/>
          <w:sz w:val="24"/>
          <w:u w:val="single"/>
          <w:lang w:val="en-US" w:eastAsia="zh-CN"/>
        </w:rPr>
        <w:t>25</w:t>
      </w:r>
      <w:r>
        <w:rPr>
          <w:rFonts w:hint="eastAsia" w:ascii="宋体" w:hAnsi="宋体"/>
          <w:b/>
          <w:bCs/>
          <w:sz w:val="24"/>
          <w:u w:val="single"/>
        </w:rPr>
        <w:t>日8：30</w:t>
      </w:r>
      <w:r>
        <w:rPr>
          <w:rFonts w:hint="eastAsia" w:ascii="宋体" w:hAnsi="宋体"/>
          <w:sz w:val="24"/>
          <w:u w:val="single"/>
        </w:rPr>
        <w:t>前</w:t>
      </w:r>
      <w:r>
        <w:rPr>
          <w:rFonts w:hint="eastAsia" w:ascii="宋体" w:hAnsi="宋体"/>
          <w:sz w:val="24"/>
        </w:rPr>
        <w:t>将投标文件密封交到投标现场。</w:t>
      </w:r>
    </w:p>
    <w:p w14:paraId="62095343">
      <w:pPr>
        <w:numPr>
          <w:ilvl w:val="0"/>
          <w:numId w:val="1"/>
        </w:numPr>
        <w:rPr>
          <w:rFonts w:ascii="宋体" w:hAnsi="宋体"/>
          <w:sz w:val="24"/>
        </w:rPr>
      </w:pPr>
      <w:r>
        <w:rPr>
          <w:rFonts w:hint="eastAsia" w:ascii="宋体" w:hAnsi="宋体"/>
          <w:sz w:val="24"/>
        </w:rPr>
        <w:t>投标地点：杭州市武林巷2号浙江中医药大学附属第三医院行政楼3楼会议室</w:t>
      </w:r>
    </w:p>
    <w:p w14:paraId="09F3ED7D">
      <w:pPr>
        <w:pStyle w:val="28"/>
        <w:widowControl/>
        <w:numPr>
          <w:ilvl w:val="0"/>
          <w:numId w:val="1"/>
        </w:numPr>
        <w:adjustRightInd w:val="0"/>
        <w:snapToGrid w:val="0"/>
        <w:ind w:firstLineChars="0"/>
        <w:jc w:val="left"/>
        <w:rPr>
          <w:rFonts w:ascii="宋体" w:hAnsi="宋体"/>
          <w:b/>
          <w:bCs/>
          <w:sz w:val="24"/>
        </w:rPr>
      </w:pPr>
      <w:r>
        <w:rPr>
          <w:rFonts w:ascii="宋体" w:hAnsi="宋体"/>
          <w:sz w:val="24"/>
        </w:rPr>
        <w:t>开标时间：</w:t>
      </w:r>
      <w:r>
        <w:rPr>
          <w:rFonts w:ascii="宋体" w:hAnsi="宋体"/>
          <w:b/>
          <w:bCs/>
          <w:sz w:val="24"/>
        </w:rPr>
        <w:t>20</w:t>
      </w:r>
      <w:r>
        <w:rPr>
          <w:rFonts w:hint="eastAsia" w:ascii="宋体" w:hAnsi="宋体"/>
          <w:b/>
          <w:bCs/>
          <w:sz w:val="24"/>
        </w:rPr>
        <w:t>25</w:t>
      </w:r>
      <w:r>
        <w:rPr>
          <w:rFonts w:ascii="宋体" w:hAnsi="宋体"/>
          <w:b/>
          <w:bCs/>
          <w:sz w:val="24"/>
        </w:rPr>
        <w:t>年</w:t>
      </w:r>
      <w:r>
        <w:rPr>
          <w:rFonts w:hint="eastAsia" w:ascii="宋体" w:hAnsi="宋体"/>
          <w:b/>
          <w:bCs/>
          <w:sz w:val="24"/>
          <w:lang w:val="en-US" w:eastAsia="zh-CN"/>
        </w:rPr>
        <w:t>9</w:t>
      </w:r>
      <w:r>
        <w:rPr>
          <w:rFonts w:ascii="宋体" w:hAnsi="宋体"/>
          <w:b/>
          <w:bCs/>
          <w:sz w:val="24"/>
        </w:rPr>
        <w:t>月</w:t>
      </w:r>
      <w:r>
        <w:rPr>
          <w:rFonts w:hint="eastAsia" w:ascii="宋体" w:hAnsi="宋体"/>
          <w:b/>
          <w:bCs/>
          <w:sz w:val="24"/>
          <w:lang w:val="en-US" w:eastAsia="zh-CN"/>
        </w:rPr>
        <w:t>25</w:t>
      </w:r>
      <w:r>
        <w:rPr>
          <w:rFonts w:ascii="宋体" w:hAnsi="宋体"/>
          <w:b/>
          <w:bCs/>
          <w:sz w:val="24"/>
        </w:rPr>
        <w:t>日</w:t>
      </w:r>
      <w:r>
        <w:rPr>
          <w:rFonts w:hint="eastAsia" w:ascii="宋体" w:hAnsi="宋体"/>
          <w:b/>
          <w:bCs/>
          <w:sz w:val="24"/>
        </w:rPr>
        <w:t>9</w:t>
      </w:r>
      <w:r>
        <w:rPr>
          <w:rFonts w:ascii="宋体" w:hAnsi="宋体"/>
          <w:b/>
          <w:bCs/>
          <w:sz w:val="24"/>
        </w:rPr>
        <w:t>：</w:t>
      </w:r>
      <w:r>
        <w:rPr>
          <w:rFonts w:hint="eastAsia" w:ascii="宋体" w:hAnsi="宋体"/>
          <w:b/>
          <w:bCs/>
          <w:sz w:val="24"/>
        </w:rPr>
        <w:t>0</w:t>
      </w:r>
      <w:r>
        <w:rPr>
          <w:rFonts w:ascii="宋体" w:hAnsi="宋体"/>
          <w:b/>
          <w:bCs/>
          <w:sz w:val="24"/>
        </w:rPr>
        <w:t>0</w:t>
      </w:r>
      <w:r>
        <w:rPr>
          <w:rFonts w:hint="eastAsia" w:ascii="宋体" w:hAnsi="宋体"/>
          <w:b/>
          <w:bCs/>
          <w:sz w:val="24"/>
        </w:rPr>
        <w:t>（周</w:t>
      </w:r>
      <w:r>
        <w:rPr>
          <w:rFonts w:hint="eastAsia" w:ascii="宋体" w:hAnsi="宋体"/>
          <w:b/>
          <w:bCs/>
          <w:sz w:val="24"/>
          <w:lang w:val="en-US" w:eastAsia="zh-CN"/>
        </w:rPr>
        <w:t>四</w:t>
      </w:r>
      <w:r>
        <w:rPr>
          <w:rFonts w:hint="eastAsia" w:ascii="宋体" w:hAnsi="宋体"/>
          <w:b/>
          <w:bCs/>
          <w:sz w:val="24"/>
        </w:rPr>
        <w:t>上午）</w:t>
      </w:r>
    </w:p>
    <w:p w14:paraId="371D1591">
      <w:pPr>
        <w:pStyle w:val="28"/>
        <w:widowControl/>
        <w:numPr>
          <w:ilvl w:val="0"/>
          <w:numId w:val="1"/>
        </w:numPr>
        <w:adjustRightInd w:val="0"/>
        <w:snapToGrid w:val="0"/>
        <w:ind w:firstLineChars="0"/>
        <w:jc w:val="left"/>
        <w:rPr>
          <w:rFonts w:ascii="Times New Roman" w:hAnsi="Times New Roman"/>
          <w:b/>
          <w:bCs/>
        </w:rPr>
      </w:pPr>
      <w:r>
        <w:rPr>
          <w:rFonts w:ascii="宋体" w:hAnsi="宋体"/>
          <w:sz w:val="24"/>
        </w:rPr>
        <w:t>开标地点：</w:t>
      </w:r>
      <w:r>
        <w:rPr>
          <w:rFonts w:hint="eastAsia" w:ascii="宋体" w:hAnsi="宋体"/>
          <w:sz w:val="24"/>
        </w:rPr>
        <w:t>浙江中医药大学附属第三医院行政区三楼会议室（武林巷二号</w:t>
      </w:r>
      <w:r>
        <w:rPr>
          <w:rFonts w:hint="eastAsia" w:ascii="宋体" w:hAnsi="宋体"/>
          <w:sz w:val="24"/>
          <w:lang w:eastAsia="zh-CN"/>
        </w:rPr>
        <w:t>）</w:t>
      </w:r>
    </w:p>
    <w:p w14:paraId="7A53BD73">
      <w:pPr>
        <w:pStyle w:val="28"/>
        <w:widowControl/>
        <w:numPr>
          <w:ilvl w:val="0"/>
          <w:numId w:val="1"/>
        </w:numPr>
        <w:adjustRightInd w:val="0"/>
        <w:snapToGrid w:val="0"/>
        <w:ind w:firstLineChars="0"/>
        <w:jc w:val="left"/>
        <w:rPr>
          <w:rFonts w:ascii="宋体" w:hAnsi="宋体"/>
          <w:sz w:val="24"/>
        </w:rPr>
      </w:pPr>
      <w:r>
        <w:rPr>
          <w:rFonts w:hint="eastAsia" w:ascii="宋体" w:hAnsi="宋体"/>
          <w:sz w:val="24"/>
        </w:rPr>
        <w:t>联系地址和电话：</w:t>
      </w:r>
    </w:p>
    <w:p w14:paraId="123632F3">
      <w:pPr>
        <w:ind w:left="480"/>
        <w:rPr>
          <w:rFonts w:ascii="宋体" w:hAnsi="宋体"/>
          <w:sz w:val="24"/>
        </w:rPr>
      </w:pPr>
      <w:r>
        <w:rPr>
          <w:rFonts w:hint="eastAsia" w:ascii="宋体" w:hAnsi="宋体"/>
          <w:sz w:val="24"/>
        </w:rPr>
        <w:t>杭州市莫干山路219号浙江中医药大学附属第三医院采购中心</w:t>
      </w:r>
    </w:p>
    <w:p w14:paraId="795F8B8B">
      <w:pPr>
        <w:ind w:left="480"/>
        <w:rPr>
          <w:rFonts w:ascii="宋体" w:hAnsi="宋体"/>
          <w:sz w:val="24"/>
        </w:rPr>
      </w:pPr>
      <w:r>
        <w:rPr>
          <w:rFonts w:hint="eastAsia" w:ascii="宋体" w:hAnsi="宋体"/>
          <w:sz w:val="24"/>
        </w:rPr>
        <w:t>联系人:黄老师</w:t>
      </w:r>
    </w:p>
    <w:p w14:paraId="4E6B319A">
      <w:pPr>
        <w:ind w:left="480"/>
        <w:rPr>
          <w:rFonts w:ascii="宋体" w:hAnsi="宋体"/>
          <w:sz w:val="24"/>
        </w:rPr>
      </w:pPr>
      <w:r>
        <w:rPr>
          <w:rFonts w:hint="eastAsia" w:ascii="宋体" w:hAnsi="宋体"/>
          <w:sz w:val="24"/>
        </w:rPr>
        <w:t>联系电话：</w:t>
      </w:r>
      <w:r>
        <w:rPr>
          <w:rFonts w:hint="eastAsia" w:cs="宋体"/>
          <w:kern w:val="0"/>
          <w:sz w:val="24"/>
        </w:rPr>
        <w:t>0571—88393587</w:t>
      </w:r>
    </w:p>
    <w:p w14:paraId="0699DF92">
      <w:pPr>
        <w:jc w:val="center"/>
        <w:rPr>
          <w:b/>
          <w:sz w:val="24"/>
        </w:rPr>
      </w:pPr>
    </w:p>
    <w:p w14:paraId="520F5551">
      <w:pPr>
        <w:jc w:val="center"/>
        <w:rPr>
          <w:b/>
          <w:sz w:val="24"/>
        </w:rPr>
      </w:pPr>
    </w:p>
    <w:p w14:paraId="4B86BFDA">
      <w:pPr>
        <w:jc w:val="center"/>
        <w:rPr>
          <w:b/>
          <w:sz w:val="24"/>
        </w:rPr>
      </w:pPr>
    </w:p>
    <w:p w14:paraId="49C12A2F">
      <w:pPr>
        <w:jc w:val="center"/>
        <w:rPr>
          <w:b/>
          <w:sz w:val="24"/>
        </w:rPr>
      </w:pPr>
    </w:p>
    <w:p w14:paraId="5318E333">
      <w:pPr>
        <w:jc w:val="center"/>
        <w:rPr>
          <w:b/>
          <w:sz w:val="24"/>
        </w:rPr>
      </w:pPr>
    </w:p>
    <w:p w14:paraId="2AD0A534">
      <w:pPr>
        <w:jc w:val="center"/>
        <w:rPr>
          <w:b/>
          <w:sz w:val="24"/>
        </w:rPr>
      </w:pPr>
    </w:p>
    <w:p w14:paraId="0976AC80">
      <w:pPr>
        <w:rPr>
          <w:b/>
          <w:sz w:val="24"/>
        </w:rPr>
      </w:pPr>
    </w:p>
    <w:p w14:paraId="3299146B">
      <w:pPr>
        <w:rPr>
          <w:b/>
          <w:sz w:val="24"/>
        </w:rPr>
      </w:pPr>
    </w:p>
    <w:p w14:paraId="4E9886B7">
      <w:pPr>
        <w:jc w:val="center"/>
        <w:rPr>
          <w:rFonts w:hint="eastAsia" w:ascii="宋体" w:hAnsi="宋体" w:eastAsiaTheme="minorEastAsia"/>
          <w:b/>
          <w:sz w:val="32"/>
          <w:szCs w:val="32"/>
          <w:lang w:val="en-US" w:eastAsia="zh-CN"/>
        </w:rPr>
      </w:pPr>
      <w:r>
        <w:rPr>
          <w:rFonts w:hint="eastAsia" w:ascii="宋体" w:hAnsi="宋体"/>
          <w:b/>
          <w:sz w:val="32"/>
          <w:szCs w:val="32"/>
        </w:rPr>
        <w:t>第二章 投标单位</w:t>
      </w:r>
      <w:r>
        <w:rPr>
          <w:rFonts w:hint="eastAsia" w:ascii="宋体" w:hAnsi="宋体"/>
          <w:b/>
          <w:sz w:val="32"/>
          <w:szCs w:val="32"/>
          <w:lang w:val="en-US" w:eastAsia="zh-CN"/>
        </w:rPr>
        <w:t>须知</w:t>
      </w:r>
    </w:p>
    <w:p w14:paraId="276890D4">
      <w:pPr>
        <w:tabs>
          <w:tab w:val="left" w:pos="540"/>
        </w:tabs>
        <w:rPr>
          <w:rFonts w:ascii="宋体" w:hAnsi="宋体"/>
          <w:sz w:val="24"/>
        </w:rPr>
      </w:pPr>
    </w:p>
    <w:p w14:paraId="781AF994">
      <w:pPr>
        <w:numPr>
          <w:ilvl w:val="0"/>
          <w:numId w:val="2"/>
        </w:numPr>
        <w:tabs>
          <w:tab w:val="left" w:pos="540"/>
          <w:tab w:val="clear" w:pos="420"/>
        </w:tabs>
        <w:spacing w:line="480" w:lineRule="auto"/>
        <w:ind w:left="539" w:hanging="539"/>
        <w:rPr>
          <w:rFonts w:ascii="宋体" w:hAnsi="宋体"/>
          <w:sz w:val="24"/>
          <w:highlight w:val="none"/>
        </w:rPr>
      </w:pPr>
      <w:r>
        <w:rPr>
          <w:rFonts w:hint="eastAsia" w:ascii="宋体" w:hAnsi="宋体"/>
          <w:sz w:val="24"/>
          <w:highlight w:val="none"/>
        </w:rPr>
        <w:t>符合《中华人民共和国政府采购法》第二十二条要求,能承担本项目的供应商。</w:t>
      </w:r>
    </w:p>
    <w:p w14:paraId="0C417484">
      <w:pPr>
        <w:numPr>
          <w:ilvl w:val="0"/>
          <w:numId w:val="2"/>
        </w:numPr>
        <w:tabs>
          <w:tab w:val="left" w:pos="540"/>
          <w:tab w:val="clear" w:pos="420"/>
        </w:tabs>
        <w:spacing w:line="480" w:lineRule="auto"/>
        <w:ind w:left="539" w:hanging="539"/>
        <w:rPr>
          <w:rFonts w:ascii="宋体" w:hAnsi="宋体"/>
          <w:sz w:val="24"/>
          <w:highlight w:val="none"/>
        </w:rPr>
      </w:pPr>
      <w:r>
        <w:rPr>
          <w:rFonts w:hint="eastAsia" w:ascii="宋体" w:hAnsi="宋体"/>
          <w:sz w:val="24"/>
          <w:highlight w:val="none"/>
        </w:rPr>
        <w:t>未被“信用中国”（www.creditchina.gov.cn）、中国政府采购网（www.ccgp.gov.cn）列入失信被执行人、税收违法黑名单、政府采购严重违法失信行为记录名单。</w:t>
      </w:r>
    </w:p>
    <w:p w14:paraId="68898239">
      <w:pPr>
        <w:numPr>
          <w:ilvl w:val="0"/>
          <w:numId w:val="2"/>
        </w:numPr>
        <w:tabs>
          <w:tab w:val="left" w:pos="540"/>
          <w:tab w:val="clear" w:pos="420"/>
        </w:tabs>
        <w:spacing w:line="480" w:lineRule="auto"/>
        <w:ind w:left="539" w:hanging="539"/>
        <w:rPr>
          <w:rFonts w:ascii="宋体" w:hAnsi="宋体"/>
          <w:sz w:val="24"/>
          <w:highlight w:val="none"/>
        </w:rPr>
      </w:pPr>
      <w:r>
        <w:rPr>
          <w:rFonts w:hint="eastAsia" w:ascii="宋体" w:hAnsi="宋体"/>
          <w:sz w:val="24"/>
          <w:highlight w:val="none"/>
        </w:rPr>
        <w:t>本项目不接受联合体投标。</w:t>
      </w:r>
    </w:p>
    <w:p w14:paraId="337948A7">
      <w:pPr>
        <w:numPr>
          <w:ilvl w:val="0"/>
          <w:numId w:val="2"/>
        </w:numPr>
        <w:tabs>
          <w:tab w:val="left" w:pos="540"/>
          <w:tab w:val="clear" w:pos="420"/>
        </w:tabs>
        <w:spacing w:line="480" w:lineRule="auto"/>
        <w:ind w:left="539" w:hanging="539"/>
        <w:rPr>
          <w:rFonts w:ascii="宋体" w:hAnsi="宋体"/>
          <w:sz w:val="24"/>
          <w:highlight w:val="none"/>
        </w:rPr>
      </w:pPr>
      <w:r>
        <w:rPr>
          <w:rFonts w:hint="eastAsia" w:ascii="宋体" w:hAnsi="宋体"/>
          <w:sz w:val="24"/>
          <w:highlight w:val="none"/>
        </w:rPr>
        <w:t>该行业国家规定必备的资质、资格。</w:t>
      </w:r>
    </w:p>
    <w:p w14:paraId="6E652A12">
      <w:pPr>
        <w:tabs>
          <w:tab w:val="left" w:pos="540"/>
        </w:tabs>
        <w:spacing w:line="480" w:lineRule="auto"/>
        <w:ind w:left="539"/>
        <w:rPr>
          <w:rFonts w:hint="eastAsia" w:ascii="宋体" w:hAnsi="宋体"/>
          <w:sz w:val="24"/>
          <w:highlight w:val="none"/>
        </w:rPr>
      </w:pPr>
      <w:r>
        <w:rPr>
          <w:rFonts w:hint="eastAsia" w:ascii="宋体" w:hAnsi="宋体"/>
          <w:sz w:val="24"/>
          <w:highlight w:val="none"/>
        </w:rPr>
        <w:t>注：多家供应商参加本项目投标，如其中两家或两家以上供应商的法定代表为同一人或相互之间存在投资关系且达到控股，应当按一个供应商认定。</w:t>
      </w:r>
    </w:p>
    <w:p w14:paraId="6732BB98">
      <w:pPr>
        <w:pStyle w:val="11"/>
        <w:numPr>
          <w:ilvl w:val="0"/>
          <w:numId w:val="0"/>
        </w:numPr>
        <w:adjustRightInd w:val="0"/>
        <w:snapToGrid w:val="0"/>
        <w:spacing w:line="360" w:lineRule="auto"/>
        <w:rPr>
          <w:rFonts w:hint="default" w:ascii="Times New Roman" w:hAnsi="Times New Roman"/>
          <w:b/>
          <w:bCs/>
          <w:highlight w:val="none"/>
          <w:lang w:val="en-US" w:eastAsia="zh-CN"/>
        </w:rPr>
      </w:pPr>
      <w:r>
        <w:rPr>
          <w:rFonts w:hint="eastAsia" w:ascii="Times New Roman" w:hAnsi="Times New Roman"/>
          <w:b/>
          <w:bCs/>
          <w:highlight w:val="none"/>
          <w:lang w:val="en-US" w:eastAsia="zh-CN"/>
        </w:rPr>
        <w:t>五、响应情况</w:t>
      </w:r>
    </w:p>
    <w:p w14:paraId="4A33A040">
      <w:pPr>
        <w:pStyle w:val="11"/>
        <w:numPr>
          <w:ilvl w:val="0"/>
          <w:numId w:val="0"/>
        </w:numPr>
        <w:adjustRightInd w:val="0"/>
        <w:snapToGrid w:val="0"/>
        <w:spacing w:line="360" w:lineRule="auto"/>
        <w:ind w:firstLine="420" w:firstLineChars="200"/>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采购文件中凡标注“▲”的条款均为实质性要求，不响应的投标文件将作无效标处理。</w:t>
      </w:r>
    </w:p>
    <w:p w14:paraId="7A9A668A">
      <w:pPr>
        <w:pStyle w:val="28"/>
        <w:widowControl/>
        <w:numPr>
          <w:ilvl w:val="0"/>
          <w:numId w:val="0"/>
        </w:numPr>
        <w:adjustRightInd w:val="0"/>
        <w:snapToGrid w:val="0"/>
        <w:ind w:leftChars="0" w:firstLine="420" w:firstLineChars="200"/>
        <w:jc w:val="left"/>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采购文件中凡标注“★”的条款为重要参数要求，根据响应情况进行评分处理。</w:t>
      </w:r>
    </w:p>
    <w:p w14:paraId="7D861B06">
      <w:pPr>
        <w:jc w:val="both"/>
        <w:rPr>
          <w:b/>
          <w:sz w:val="24"/>
          <w:highlight w:val="none"/>
        </w:rPr>
      </w:pPr>
    </w:p>
    <w:p w14:paraId="5E0ADA1B">
      <w:pPr>
        <w:jc w:val="center"/>
        <w:rPr>
          <w:b/>
          <w:sz w:val="24"/>
        </w:rPr>
      </w:pPr>
    </w:p>
    <w:p w14:paraId="1338A38B">
      <w:pPr>
        <w:jc w:val="center"/>
        <w:rPr>
          <w:b/>
          <w:sz w:val="24"/>
        </w:rPr>
      </w:pPr>
    </w:p>
    <w:p w14:paraId="3B3C8C16">
      <w:pPr>
        <w:jc w:val="center"/>
        <w:rPr>
          <w:b/>
          <w:sz w:val="24"/>
        </w:rPr>
      </w:pPr>
    </w:p>
    <w:p w14:paraId="343A4C3E">
      <w:pPr>
        <w:jc w:val="center"/>
        <w:rPr>
          <w:b/>
          <w:sz w:val="24"/>
        </w:rPr>
      </w:pPr>
    </w:p>
    <w:p w14:paraId="13F42ED2">
      <w:pPr>
        <w:rPr>
          <w:b/>
          <w:sz w:val="24"/>
        </w:rPr>
      </w:pPr>
    </w:p>
    <w:p w14:paraId="2D0E6908">
      <w:pPr>
        <w:jc w:val="center"/>
        <w:rPr>
          <w:rFonts w:ascii="宋体" w:hAnsi="宋体"/>
          <w:b/>
          <w:sz w:val="32"/>
          <w:szCs w:val="32"/>
        </w:rPr>
      </w:pPr>
      <w:bookmarkStart w:id="0" w:name="_Toc134105166"/>
      <w:r>
        <w:rPr>
          <w:rFonts w:hint="eastAsia" w:ascii="宋体" w:hAnsi="宋体"/>
          <w:b/>
          <w:sz w:val="32"/>
          <w:szCs w:val="32"/>
        </w:rPr>
        <w:t>第三章  采购内容及需求</w:t>
      </w:r>
    </w:p>
    <w:bookmarkEnd w:id="0"/>
    <w:p w14:paraId="78D2586C">
      <w:pPr>
        <w:spacing w:line="360" w:lineRule="auto"/>
        <w:outlineLvl w:val="0"/>
        <w:rPr>
          <w:rFonts w:hint="eastAsia" w:ascii="宋体" w:hAnsi="宋体" w:cs="宋体"/>
          <w:b/>
          <w:color w:val="000000"/>
          <w:sz w:val="24"/>
          <w:szCs w:val="24"/>
        </w:rPr>
      </w:pPr>
      <w:r>
        <w:rPr>
          <w:rFonts w:hint="eastAsia" w:ascii="宋体" w:hAnsi="宋体" w:cs="宋体"/>
          <w:b/>
          <w:color w:val="000000"/>
          <w:sz w:val="24"/>
          <w:szCs w:val="24"/>
        </w:rPr>
        <w:t>一、</w:t>
      </w:r>
      <w:r>
        <w:rPr>
          <w:rFonts w:hint="eastAsia" w:ascii="宋体" w:hAnsi="宋体" w:cs="宋体"/>
          <w:b/>
          <w:color w:val="000000"/>
          <w:sz w:val="24"/>
          <w:szCs w:val="24"/>
          <w:lang w:val="en-US" w:eastAsia="zh-CN"/>
        </w:rPr>
        <w:t>采购</w:t>
      </w:r>
      <w:r>
        <w:rPr>
          <w:rFonts w:hint="eastAsia" w:ascii="宋体" w:hAnsi="宋体" w:cs="宋体"/>
          <w:b/>
          <w:color w:val="000000"/>
          <w:sz w:val="24"/>
          <w:szCs w:val="24"/>
        </w:rPr>
        <w:t>清单</w:t>
      </w: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4"/>
        <w:gridCol w:w="1226"/>
        <w:gridCol w:w="4167"/>
        <w:gridCol w:w="807"/>
        <w:gridCol w:w="1281"/>
      </w:tblGrid>
      <w:tr w14:paraId="63937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A46B">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9C9F2">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采购项</w:t>
            </w:r>
          </w:p>
        </w:tc>
        <w:tc>
          <w:tcPr>
            <w:tcW w:w="2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2030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描述</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70DF">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844C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w:t>
            </w:r>
          </w:p>
        </w:tc>
      </w:tr>
      <w:tr w14:paraId="34DC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4" w:hRule="atLeast"/>
        </w:trPr>
        <w:tc>
          <w:tcPr>
            <w:tcW w:w="6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8C64">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372A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网络及安全运维</w:t>
            </w:r>
            <w:r>
              <w:rPr>
                <w:rFonts w:hint="eastAsia" w:ascii="宋体" w:hAnsi="宋体" w:eastAsia="宋体" w:cs="宋体"/>
                <w:i w:val="0"/>
                <w:iCs w:val="0"/>
                <w:color w:val="000000"/>
                <w:kern w:val="0"/>
                <w:sz w:val="24"/>
                <w:szCs w:val="24"/>
                <w:u w:val="none"/>
                <w:lang w:val="en-US" w:eastAsia="zh-CN" w:bidi="ar"/>
              </w:rPr>
              <w:t>项目</w:t>
            </w:r>
          </w:p>
        </w:tc>
        <w:tc>
          <w:tcPr>
            <w:tcW w:w="24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AFD9">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鉴于医院网络系统与数据信息的高安全性、高稳定性要求，本次项目涵盖机房运维服务、安全运营服务及数据安全服务。</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67207">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1年</w:t>
            </w:r>
          </w:p>
        </w:tc>
        <w:tc>
          <w:tcPr>
            <w:tcW w:w="7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A21AE">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17万元</w:t>
            </w:r>
          </w:p>
        </w:tc>
      </w:tr>
    </w:tbl>
    <w:p w14:paraId="5B35FE3B">
      <w:pPr>
        <w:spacing w:line="360" w:lineRule="auto"/>
        <w:outlineLvl w:val="0"/>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rPr>
        <w:t>二</w:t>
      </w:r>
      <w:r>
        <w:rPr>
          <w:rFonts w:hint="eastAsia" w:ascii="宋体" w:hAnsi="宋体" w:eastAsia="宋体" w:cs="宋体"/>
          <w:b/>
          <w:color w:val="000000"/>
          <w:sz w:val="24"/>
          <w:szCs w:val="24"/>
          <w:lang w:eastAsia="zh-CN"/>
        </w:rPr>
        <w:t>、</w:t>
      </w:r>
      <w:r>
        <w:rPr>
          <w:rFonts w:hint="eastAsia" w:ascii="宋体" w:hAnsi="宋体" w:eastAsia="宋体" w:cs="宋体"/>
          <w:b/>
          <w:color w:val="000000"/>
          <w:sz w:val="24"/>
          <w:szCs w:val="24"/>
          <w:lang w:val="en-US" w:eastAsia="zh-CN"/>
        </w:rPr>
        <w:t>详细服务清单</w:t>
      </w:r>
    </w:p>
    <w:tbl>
      <w:tblPr>
        <w:tblStyle w:val="18"/>
        <w:tblW w:w="4998" w:type="pct"/>
        <w:tblInd w:w="0" w:type="dxa"/>
        <w:tblLayout w:type="autofit"/>
        <w:tblCellMar>
          <w:top w:w="0" w:type="dxa"/>
          <w:left w:w="108" w:type="dxa"/>
          <w:bottom w:w="0" w:type="dxa"/>
          <w:right w:w="108" w:type="dxa"/>
        </w:tblCellMar>
      </w:tblPr>
      <w:tblGrid>
        <w:gridCol w:w="905"/>
        <w:gridCol w:w="1276"/>
        <w:gridCol w:w="3365"/>
        <w:gridCol w:w="2979"/>
      </w:tblGrid>
      <w:tr w14:paraId="1C1B5B7F">
        <w:tblPrEx>
          <w:tblCellMar>
            <w:top w:w="0" w:type="dxa"/>
            <w:left w:w="108" w:type="dxa"/>
            <w:bottom w:w="0" w:type="dxa"/>
            <w:right w:w="108" w:type="dxa"/>
          </w:tblCellMar>
        </w:tblPrEx>
        <w:trPr>
          <w:trHeight w:val="288" w:hRule="atLeast"/>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DABC">
            <w:pPr>
              <w:widowControl/>
              <w:spacing w:line="360" w:lineRule="auto"/>
              <w:jc w:val="center"/>
              <w:textAlignment w:val="center"/>
              <w:rPr>
                <w:rFonts w:hint="eastAsia" w:ascii="宋体" w:hAnsi="宋体" w:cs="宋体"/>
                <w:b/>
                <w:bCs/>
                <w:color w:val="000000"/>
              </w:rPr>
            </w:pPr>
            <w:r>
              <w:rPr>
                <w:rFonts w:hint="eastAsia" w:ascii="宋体" w:hAnsi="宋体" w:cs="宋体"/>
                <w:b/>
                <w:bCs/>
                <w:color w:val="000000"/>
                <w:kern w:val="0"/>
                <w:lang w:bidi="ar"/>
              </w:rPr>
              <w:t>序号</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94BC">
            <w:pPr>
              <w:widowControl/>
              <w:spacing w:line="360" w:lineRule="auto"/>
              <w:jc w:val="center"/>
              <w:textAlignment w:val="center"/>
              <w:rPr>
                <w:rFonts w:hint="eastAsia" w:ascii="宋体" w:hAnsi="宋体" w:cs="宋体"/>
                <w:b/>
                <w:bCs/>
                <w:color w:val="000000"/>
              </w:rPr>
            </w:pPr>
            <w:r>
              <w:rPr>
                <w:rFonts w:hint="eastAsia" w:ascii="宋体" w:hAnsi="宋体" w:cs="宋体"/>
                <w:b/>
                <w:bCs/>
                <w:color w:val="000000"/>
                <w:kern w:val="0"/>
                <w:lang w:bidi="ar"/>
              </w:rPr>
              <w:t>服务项</w:t>
            </w: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9232D">
            <w:pPr>
              <w:widowControl/>
              <w:spacing w:line="360" w:lineRule="auto"/>
              <w:jc w:val="center"/>
              <w:textAlignment w:val="center"/>
              <w:rPr>
                <w:rFonts w:hint="eastAsia" w:ascii="宋体" w:hAnsi="宋体" w:cs="宋体"/>
                <w:b/>
                <w:bCs/>
                <w:color w:val="000000"/>
              </w:rPr>
            </w:pPr>
            <w:r>
              <w:rPr>
                <w:rFonts w:hint="eastAsia" w:ascii="宋体" w:hAnsi="宋体" w:cs="宋体"/>
                <w:b/>
                <w:bCs/>
                <w:color w:val="000000"/>
                <w:kern w:val="0"/>
                <w:lang w:bidi="ar"/>
              </w:rPr>
              <w:t>服务内容</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70B9B">
            <w:pPr>
              <w:widowControl/>
              <w:spacing w:line="360" w:lineRule="auto"/>
              <w:jc w:val="center"/>
              <w:textAlignment w:val="center"/>
              <w:rPr>
                <w:rFonts w:hint="eastAsia" w:ascii="宋体" w:hAnsi="宋体" w:cs="宋体"/>
                <w:b/>
                <w:bCs/>
                <w:color w:val="000000"/>
              </w:rPr>
            </w:pPr>
            <w:r>
              <w:rPr>
                <w:rFonts w:hint="eastAsia" w:ascii="宋体" w:hAnsi="宋体" w:cs="宋体"/>
                <w:b/>
                <w:bCs/>
                <w:color w:val="000000"/>
                <w:kern w:val="0"/>
                <w:lang w:bidi="ar"/>
              </w:rPr>
              <w:t>服务频次</w:t>
            </w:r>
          </w:p>
        </w:tc>
      </w:tr>
      <w:tr w14:paraId="27D54611">
        <w:tblPrEx>
          <w:tblCellMar>
            <w:top w:w="0" w:type="dxa"/>
            <w:left w:w="108" w:type="dxa"/>
            <w:bottom w:w="0" w:type="dxa"/>
            <w:right w:w="108" w:type="dxa"/>
          </w:tblCellMar>
        </w:tblPrEx>
        <w:trPr>
          <w:trHeight w:val="288" w:hRule="atLeast"/>
        </w:trPr>
        <w:tc>
          <w:tcPr>
            <w:tcW w:w="5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ABC40">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1</w:t>
            </w:r>
          </w:p>
        </w:tc>
        <w:tc>
          <w:tcPr>
            <w:tcW w:w="7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2FFC8">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机房运维服务</w:t>
            </w: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680E">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设备维保服务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DBA2A">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1年</w:t>
            </w:r>
          </w:p>
        </w:tc>
      </w:tr>
      <w:tr w14:paraId="64FDFD96">
        <w:tblPrEx>
          <w:tblCellMar>
            <w:top w:w="0" w:type="dxa"/>
            <w:left w:w="108" w:type="dxa"/>
            <w:bottom w:w="0" w:type="dxa"/>
            <w:right w:w="108" w:type="dxa"/>
          </w:tblCellMar>
        </w:tblPrEx>
        <w:trPr>
          <w:trHeight w:val="288" w:hRule="atLeast"/>
        </w:trPr>
        <w:tc>
          <w:tcPr>
            <w:tcW w:w="5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8F5BB">
            <w:pPr>
              <w:spacing w:line="360" w:lineRule="auto"/>
              <w:jc w:val="center"/>
              <w:rPr>
                <w:rFonts w:hint="eastAsia" w:ascii="宋体" w:hAnsi="宋体" w:cs="宋体"/>
                <w:color w:val="000000"/>
              </w:rPr>
            </w:pP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B8401">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36AA0">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资产梳理服务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3078E">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1年</w:t>
            </w:r>
          </w:p>
        </w:tc>
      </w:tr>
      <w:tr w14:paraId="78B487FB">
        <w:tblPrEx>
          <w:tblCellMar>
            <w:top w:w="0" w:type="dxa"/>
            <w:left w:w="108" w:type="dxa"/>
            <w:bottom w:w="0" w:type="dxa"/>
            <w:right w:w="108" w:type="dxa"/>
          </w:tblCellMar>
        </w:tblPrEx>
        <w:trPr>
          <w:trHeight w:val="288" w:hRule="atLeast"/>
        </w:trPr>
        <w:tc>
          <w:tcPr>
            <w:tcW w:w="5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CD524">
            <w:pPr>
              <w:spacing w:line="360" w:lineRule="auto"/>
              <w:jc w:val="center"/>
              <w:rPr>
                <w:rFonts w:hint="eastAsia" w:ascii="宋体" w:hAnsi="宋体" w:cs="宋体"/>
                <w:color w:val="000000"/>
              </w:rPr>
            </w:pP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72933">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08B38">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备品备件服务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9CAE7">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按需提供</w:t>
            </w:r>
          </w:p>
        </w:tc>
      </w:tr>
      <w:tr w14:paraId="1C79BCBC">
        <w:tblPrEx>
          <w:tblCellMar>
            <w:top w:w="0" w:type="dxa"/>
            <w:left w:w="108" w:type="dxa"/>
            <w:bottom w:w="0" w:type="dxa"/>
            <w:right w:w="108" w:type="dxa"/>
          </w:tblCellMar>
        </w:tblPrEx>
        <w:trPr>
          <w:trHeight w:val="288" w:hRule="atLeast"/>
        </w:trPr>
        <w:tc>
          <w:tcPr>
            <w:tcW w:w="5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431C6">
            <w:pPr>
              <w:spacing w:line="360" w:lineRule="auto"/>
              <w:jc w:val="center"/>
              <w:rPr>
                <w:rFonts w:hint="eastAsia" w:ascii="宋体" w:hAnsi="宋体" w:cs="宋体"/>
                <w:color w:val="000000"/>
              </w:rPr>
            </w:pP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E39FB">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DA61F">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应急故障处理服务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9317E">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按需提供</w:t>
            </w:r>
          </w:p>
        </w:tc>
      </w:tr>
      <w:tr w14:paraId="68F4F7E3">
        <w:tblPrEx>
          <w:tblCellMar>
            <w:top w:w="0" w:type="dxa"/>
            <w:left w:w="108" w:type="dxa"/>
            <w:bottom w:w="0" w:type="dxa"/>
            <w:right w:w="108" w:type="dxa"/>
          </w:tblCellMar>
        </w:tblPrEx>
        <w:trPr>
          <w:trHeight w:val="288" w:hRule="atLeast"/>
        </w:trPr>
        <w:tc>
          <w:tcPr>
            <w:tcW w:w="5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C9F02">
            <w:pPr>
              <w:spacing w:line="360" w:lineRule="auto"/>
              <w:jc w:val="center"/>
              <w:rPr>
                <w:rFonts w:hint="eastAsia" w:ascii="宋体" w:hAnsi="宋体" w:cs="宋体"/>
                <w:color w:val="000000"/>
              </w:rPr>
            </w:pP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FE67D">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9763C">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定期巡检服务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0B8D7">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4次/年</w:t>
            </w:r>
          </w:p>
        </w:tc>
      </w:tr>
      <w:tr w14:paraId="285F914F">
        <w:tblPrEx>
          <w:tblCellMar>
            <w:top w:w="0" w:type="dxa"/>
            <w:left w:w="108" w:type="dxa"/>
            <w:bottom w:w="0" w:type="dxa"/>
            <w:right w:w="108" w:type="dxa"/>
          </w:tblCellMar>
        </w:tblPrEx>
        <w:trPr>
          <w:trHeight w:val="288" w:hRule="atLeast"/>
        </w:trPr>
        <w:tc>
          <w:tcPr>
            <w:tcW w:w="5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18E3">
            <w:pPr>
              <w:spacing w:line="360" w:lineRule="auto"/>
              <w:jc w:val="center"/>
              <w:rPr>
                <w:rFonts w:hint="eastAsia" w:ascii="宋体" w:hAnsi="宋体" w:cs="宋体"/>
                <w:color w:val="000000"/>
              </w:rPr>
            </w:pPr>
          </w:p>
        </w:tc>
        <w:tc>
          <w:tcPr>
            <w:tcW w:w="7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21EC9">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1A4E7">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虚拟化平台维护服务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A7E2F">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1年</w:t>
            </w:r>
          </w:p>
        </w:tc>
      </w:tr>
      <w:tr w14:paraId="5F86D67F">
        <w:tblPrEx>
          <w:tblCellMar>
            <w:top w:w="0" w:type="dxa"/>
            <w:left w:w="108" w:type="dxa"/>
            <w:bottom w:w="0" w:type="dxa"/>
            <w:right w:w="108" w:type="dxa"/>
          </w:tblCellMar>
        </w:tblPrEx>
        <w:trPr>
          <w:trHeight w:val="300" w:hRule="atLeast"/>
        </w:trPr>
        <w:tc>
          <w:tcPr>
            <w:tcW w:w="531" w:type="pct"/>
            <w:vMerge w:val="restart"/>
            <w:tcBorders>
              <w:top w:val="single" w:color="000000" w:sz="4" w:space="0"/>
              <w:left w:val="single" w:color="000000" w:sz="4" w:space="0"/>
              <w:right w:val="single" w:color="000000" w:sz="4" w:space="0"/>
            </w:tcBorders>
            <w:shd w:val="clear" w:color="auto" w:fill="auto"/>
            <w:vAlign w:val="center"/>
          </w:tcPr>
          <w:p w14:paraId="26CD27B9">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2</w:t>
            </w:r>
          </w:p>
        </w:tc>
        <w:tc>
          <w:tcPr>
            <w:tcW w:w="748" w:type="pct"/>
            <w:vMerge w:val="restart"/>
            <w:tcBorders>
              <w:top w:val="single" w:color="000000" w:sz="4" w:space="0"/>
              <w:left w:val="single" w:color="000000" w:sz="4" w:space="0"/>
              <w:right w:val="single" w:color="000000" w:sz="4" w:space="0"/>
            </w:tcBorders>
            <w:shd w:val="clear" w:color="auto" w:fill="auto"/>
            <w:vAlign w:val="center"/>
          </w:tcPr>
          <w:p w14:paraId="4FCCE8A6">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安全</w:t>
            </w:r>
            <w:r>
              <w:rPr>
                <w:rFonts w:hint="eastAsia" w:ascii="宋体" w:hAnsi="宋体" w:cs="宋体"/>
                <w:color w:val="000000"/>
                <w:kern w:val="0"/>
                <w:lang w:val="en-US" w:eastAsia="zh-CN" w:bidi="ar"/>
              </w:rPr>
              <w:t>运营</w:t>
            </w:r>
            <w:r>
              <w:rPr>
                <w:rFonts w:hint="eastAsia" w:ascii="宋体" w:hAnsi="宋体" w:cs="宋体"/>
                <w:color w:val="000000"/>
                <w:kern w:val="0"/>
                <w:lang w:bidi="ar"/>
              </w:rPr>
              <w:t>服务</w:t>
            </w: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5A5F9">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bidi="ar"/>
              </w:rPr>
              <w:t>安全日志分析与响应服务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408A28EC">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12次/年</w:t>
            </w:r>
          </w:p>
        </w:tc>
      </w:tr>
      <w:tr w14:paraId="0B390CE3">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4EE9B32E">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41DB237D">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D3804">
            <w:pPr>
              <w:widowControl/>
              <w:spacing w:line="360" w:lineRule="auto"/>
              <w:jc w:val="center"/>
              <w:textAlignment w:val="center"/>
              <w:rPr>
                <w:rFonts w:hint="eastAsia" w:ascii="宋体" w:hAnsi="宋体" w:eastAsia="宋体" w:cs="宋体"/>
                <w:color w:val="000000"/>
                <w:lang w:eastAsia="zh-CN"/>
              </w:rPr>
            </w:pPr>
            <w:r>
              <w:rPr>
                <w:rFonts w:hint="eastAsia" w:ascii="宋体" w:hAnsi="宋体" w:cs="宋体"/>
                <w:color w:val="000000"/>
                <w:kern w:val="0"/>
                <w:lang w:val="en-US" w:eastAsia="zh-CN" w:bidi="ar"/>
              </w:rPr>
              <w:t>漏洞扫描服务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7D4F5CDC">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4次/年</w:t>
            </w:r>
          </w:p>
        </w:tc>
      </w:tr>
      <w:tr w14:paraId="38893907">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2EC4D4AF">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1E61616B">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A859E">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val="en-US" w:eastAsia="zh-CN" w:bidi="ar"/>
              </w:rPr>
              <w:t>基线核查</w:t>
            </w:r>
            <w:r>
              <w:rPr>
                <w:rFonts w:hint="eastAsia" w:ascii="宋体" w:hAnsi="宋体" w:cs="宋体"/>
                <w:color w:val="000000"/>
                <w:kern w:val="0"/>
                <w:lang w:bidi="ar"/>
              </w:rPr>
              <w:t>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00AA0EDB">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按需提供</w:t>
            </w:r>
          </w:p>
        </w:tc>
      </w:tr>
      <w:tr w14:paraId="72DB8E45">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3E50E9E3">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563AD476">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2406">
            <w:pPr>
              <w:widowControl/>
              <w:spacing w:line="360" w:lineRule="auto"/>
              <w:jc w:val="center"/>
              <w:textAlignment w:val="center"/>
              <w:rPr>
                <w:rFonts w:hint="eastAsia" w:ascii="宋体" w:hAnsi="宋体" w:eastAsia="宋体" w:cs="宋体"/>
                <w:color w:val="000000"/>
                <w:lang w:val="en-US" w:eastAsia="zh-CN"/>
              </w:rPr>
            </w:pPr>
            <w:r>
              <w:rPr>
                <w:rFonts w:hint="eastAsia" w:ascii="宋体" w:hAnsi="宋体" w:cs="宋体"/>
                <w:color w:val="000000"/>
                <w:kern w:val="0"/>
                <w:lang w:bidi="ar"/>
              </w:rPr>
              <w:t>渗透测试</w:t>
            </w:r>
            <w:r>
              <w:rPr>
                <w:rFonts w:hint="eastAsia" w:ascii="宋体" w:hAnsi="宋体" w:cs="宋体"/>
                <w:color w:val="000000"/>
                <w:kern w:val="0"/>
                <w:lang w:val="en-US" w:eastAsia="zh-CN" w:bidi="ar"/>
              </w:rPr>
              <w:t>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0BE89713">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4次/年</w:t>
            </w:r>
          </w:p>
        </w:tc>
      </w:tr>
      <w:tr w14:paraId="57AE3F1A">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3291286F">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657BC12F">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CEFFE">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val="en-US" w:eastAsia="zh-CN" w:bidi="ar"/>
              </w:rPr>
              <w:t>漏洞攻击防护</w:t>
            </w:r>
            <w:r>
              <w:rPr>
                <w:rFonts w:hint="eastAsia" w:ascii="宋体" w:hAnsi="宋体" w:cs="宋体"/>
                <w:color w:val="000000"/>
                <w:kern w:val="0"/>
                <w:lang w:bidi="ar"/>
              </w:rPr>
              <w:t>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65A374BC">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1年</w:t>
            </w:r>
          </w:p>
        </w:tc>
      </w:tr>
      <w:tr w14:paraId="510A903B">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1C58855A">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79275172">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5A373">
            <w:pPr>
              <w:widowControl/>
              <w:spacing w:line="360" w:lineRule="auto"/>
              <w:jc w:val="center"/>
              <w:textAlignment w:val="center"/>
              <w:rPr>
                <w:rFonts w:hint="default" w:ascii="宋体" w:hAnsi="宋体" w:eastAsia="宋体" w:cs="宋体"/>
                <w:color w:val="000000"/>
                <w:lang w:val="en-US" w:eastAsia="zh-CN"/>
              </w:rPr>
            </w:pPr>
            <w:r>
              <w:rPr>
                <w:rFonts w:hint="eastAsia" w:ascii="宋体" w:hAnsi="宋体" w:cs="宋体"/>
                <w:color w:val="000000"/>
                <w:kern w:val="0"/>
                <w:lang w:val="en-US" w:eastAsia="zh-CN" w:bidi="ar"/>
              </w:rPr>
              <w:t>主动安全防护服务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03AA6EED">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1年</w:t>
            </w:r>
          </w:p>
        </w:tc>
      </w:tr>
      <w:tr w14:paraId="5E53A24E">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7E7EFA8C">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1F570ACC">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39475">
            <w:pPr>
              <w:widowControl/>
              <w:spacing w:line="360" w:lineRule="auto"/>
              <w:jc w:val="center"/>
              <w:textAlignment w:val="center"/>
              <w:rPr>
                <w:rFonts w:hint="default" w:ascii="宋体" w:hAnsi="宋体" w:eastAsia="宋体" w:cs="宋体"/>
                <w:color w:val="000000"/>
                <w:lang w:val="en-US" w:eastAsia="zh-CN"/>
              </w:rPr>
            </w:pPr>
            <w:r>
              <w:rPr>
                <w:rFonts w:hint="eastAsia" w:ascii="宋体" w:hAnsi="宋体" w:cs="宋体"/>
                <w:color w:val="000000"/>
                <w:kern w:val="0"/>
                <w:lang w:val="en-US" w:eastAsia="zh-CN" w:bidi="ar"/>
              </w:rPr>
              <w:t>安全威胁分析联动服务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324DBFCD">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1年</w:t>
            </w:r>
          </w:p>
        </w:tc>
      </w:tr>
      <w:tr w14:paraId="6C2676A6">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4A0BE7F0">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08EA80CA">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3E7A4">
            <w:pPr>
              <w:widowControl/>
              <w:spacing w:line="360" w:lineRule="auto"/>
              <w:jc w:val="center"/>
              <w:textAlignment w:val="center"/>
              <w:rPr>
                <w:rFonts w:hint="default" w:ascii="宋体" w:hAnsi="宋体" w:eastAsia="宋体" w:cs="宋体"/>
                <w:color w:val="000000"/>
                <w:lang w:val="en-US" w:eastAsia="zh-CN"/>
              </w:rPr>
            </w:pPr>
            <w:r>
              <w:rPr>
                <w:rFonts w:hint="eastAsia" w:ascii="宋体" w:hAnsi="宋体" w:cs="宋体"/>
                <w:color w:val="000000"/>
                <w:kern w:val="0"/>
                <w:lang w:val="en-US" w:eastAsia="zh-CN" w:bidi="ar"/>
              </w:rPr>
              <w:t>新系统上线评估服务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243899FE">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按需提供</w:t>
            </w:r>
          </w:p>
        </w:tc>
      </w:tr>
      <w:tr w14:paraId="1D253E0F">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1AD8A55B">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6CA7692C">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237D6">
            <w:pPr>
              <w:widowControl/>
              <w:spacing w:line="360" w:lineRule="auto"/>
              <w:jc w:val="center"/>
              <w:textAlignment w:val="center"/>
              <w:rPr>
                <w:rFonts w:hint="eastAsia" w:ascii="宋体" w:hAnsi="宋体" w:eastAsia="宋体" w:cs="宋体"/>
                <w:color w:val="000000"/>
                <w:lang w:val="en-US" w:eastAsia="zh-CN"/>
              </w:rPr>
            </w:pPr>
            <w:r>
              <w:rPr>
                <w:rFonts w:hint="eastAsia" w:ascii="宋体" w:hAnsi="宋体" w:cs="宋体"/>
                <w:color w:val="000000"/>
                <w:kern w:val="0"/>
                <w:lang w:bidi="ar"/>
              </w:rPr>
              <w:t>应急演练</w:t>
            </w:r>
            <w:r>
              <w:rPr>
                <w:rFonts w:hint="eastAsia" w:ascii="宋体" w:hAnsi="宋体" w:cs="宋体"/>
                <w:color w:val="000000"/>
                <w:kern w:val="0"/>
                <w:lang w:val="en-US" w:eastAsia="zh-CN" w:bidi="ar"/>
              </w:rPr>
              <w:t>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1CEA74AB">
            <w:pPr>
              <w:widowControl/>
              <w:spacing w:line="360" w:lineRule="auto"/>
              <w:jc w:val="center"/>
              <w:textAlignment w:val="top"/>
              <w:rPr>
                <w:rFonts w:hint="eastAsia" w:ascii="宋体" w:hAnsi="宋体" w:cs="宋体"/>
                <w:color w:val="000000"/>
              </w:rPr>
            </w:pPr>
            <w:r>
              <w:rPr>
                <w:rFonts w:hint="eastAsia" w:ascii="宋体" w:hAnsi="宋体" w:cs="宋体"/>
                <w:color w:val="000000"/>
                <w:kern w:val="0"/>
                <w:lang w:bidi="ar"/>
              </w:rPr>
              <w:t>按需提供</w:t>
            </w:r>
          </w:p>
        </w:tc>
      </w:tr>
      <w:tr w14:paraId="26A626C3">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5B8E41F8">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46588FF7">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4E54">
            <w:pPr>
              <w:widowControl/>
              <w:spacing w:line="360" w:lineRule="auto"/>
              <w:jc w:val="center"/>
              <w:textAlignment w:val="center"/>
              <w:rPr>
                <w:rFonts w:hint="default" w:ascii="宋体" w:hAnsi="宋体" w:eastAsia="宋体" w:cs="宋体"/>
                <w:color w:val="000000"/>
                <w:kern w:val="0"/>
                <w:lang w:val="en-US" w:eastAsia="zh-CN" w:bidi="ar"/>
              </w:rPr>
            </w:pPr>
            <w:r>
              <w:rPr>
                <w:rFonts w:hint="eastAsia" w:ascii="宋体" w:hAnsi="宋体" w:cs="宋体"/>
                <w:color w:val="000000"/>
                <w:kern w:val="0"/>
                <w:lang w:val="en-US" w:eastAsia="zh-CN" w:bidi="ar"/>
              </w:rPr>
              <w:t>重保值守响应服务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3547CFE2">
            <w:pPr>
              <w:widowControl/>
              <w:spacing w:line="360" w:lineRule="auto"/>
              <w:jc w:val="center"/>
              <w:textAlignment w:val="top"/>
              <w:rPr>
                <w:rFonts w:hint="eastAsia" w:ascii="宋体" w:hAnsi="宋体" w:eastAsia="宋体" w:cs="宋体"/>
                <w:color w:val="000000"/>
                <w:kern w:val="0"/>
                <w:lang w:val="en-US" w:eastAsia="zh-CN" w:bidi="ar"/>
              </w:rPr>
            </w:pPr>
            <w:r>
              <w:rPr>
                <w:rFonts w:hint="eastAsia" w:ascii="宋体" w:hAnsi="宋体" w:cs="宋体"/>
                <w:color w:val="000000"/>
                <w:kern w:val="0"/>
                <w:lang w:val="en-US" w:eastAsia="zh-CN" w:bidi="ar"/>
              </w:rPr>
              <w:t>按需</w:t>
            </w:r>
            <w:r>
              <w:rPr>
                <w:rFonts w:hint="eastAsia" w:ascii="宋体" w:hAnsi="宋体" w:cs="宋体"/>
                <w:color w:val="000000"/>
                <w:kern w:val="0"/>
                <w:lang w:bidi="ar"/>
              </w:rPr>
              <w:t>提供</w:t>
            </w:r>
          </w:p>
        </w:tc>
      </w:tr>
      <w:tr w14:paraId="38092E30">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798A34C0">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79C1DFAA">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0EC8D">
            <w:pPr>
              <w:widowControl/>
              <w:spacing w:line="360" w:lineRule="auto"/>
              <w:jc w:val="center"/>
              <w:textAlignment w:val="center"/>
              <w:rPr>
                <w:rFonts w:hint="default" w:ascii="宋体" w:hAnsi="宋体" w:eastAsia="宋体" w:cs="宋体"/>
                <w:color w:val="000000"/>
                <w:kern w:val="0"/>
                <w:lang w:val="en-US" w:eastAsia="zh-CN" w:bidi="ar"/>
              </w:rPr>
            </w:pPr>
            <w:r>
              <w:rPr>
                <w:rFonts w:hint="eastAsia" w:ascii="宋体" w:hAnsi="宋体" w:cs="宋体"/>
                <w:color w:val="000000"/>
                <w:kern w:val="0"/>
                <w:lang w:val="en-US" w:eastAsia="zh-CN" w:bidi="ar"/>
              </w:rPr>
              <w:t>应急响应服务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66E568F9">
            <w:pPr>
              <w:widowControl/>
              <w:spacing w:line="360" w:lineRule="auto"/>
              <w:jc w:val="center"/>
              <w:textAlignment w:val="top"/>
              <w:rPr>
                <w:rFonts w:hint="eastAsia" w:ascii="宋体" w:hAnsi="宋体" w:eastAsia="宋体" w:cs="宋体"/>
                <w:color w:val="000000"/>
                <w:kern w:val="0"/>
                <w:lang w:val="en-US" w:eastAsia="zh-CN" w:bidi="ar"/>
              </w:rPr>
            </w:pPr>
            <w:r>
              <w:rPr>
                <w:rFonts w:hint="eastAsia" w:ascii="宋体" w:hAnsi="宋体" w:cs="宋体"/>
                <w:color w:val="000000"/>
                <w:kern w:val="0"/>
                <w:lang w:val="en-US" w:eastAsia="zh-CN" w:bidi="ar"/>
              </w:rPr>
              <w:t>按需</w:t>
            </w:r>
            <w:r>
              <w:rPr>
                <w:rFonts w:hint="eastAsia" w:ascii="宋体" w:hAnsi="宋体" w:cs="宋体"/>
                <w:color w:val="000000"/>
                <w:kern w:val="0"/>
                <w:lang w:bidi="ar"/>
              </w:rPr>
              <w:t>提供</w:t>
            </w:r>
          </w:p>
        </w:tc>
      </w:tr>
      <w:tr w14:paraId="4C568AD9">
        <w:tblPrEx>
          <w:tblCellMar>
            <w:top w:w="0" w:type="dxa"/>
            <w:left w:w="108" w:type="dxa"/>
            <w:bottom w:w="0" w:type="dxa"/>
            <w:right w:w="108" w:type="dxa"/>
          </w:tblCellMar>
        </w:tblPrEx>
        <w:trPr>
          <w:trHeight w:val="288" w:hRule="atLeast"/>
        </w:trPr>
        <w:tc>
          <w:tcPr>
            <w:tcW w:w="531" w:type="pct"/>
            <w:vMerge w:val="continue"/>
            <w:tcBorders>
              <w:left w:val="single" w:color="000000" w:sz="4" w:space="0"/>
              <w:bottom w:val="single" w:color="000000" w:sz="4" w:space="0"/>
              <w:right w:val="single" w:color="000000" w:sz="4" w:space="0"/>
            </w:tcBorders>
            <w:shd w:val="clear" w:color="auto" w:fill="auto"/>
            <w:vAlign w:val="center"/>
          </w:tcPr>
          <w:p w14:paraId="3C907AFB">
            <w:pPr>
              <w:spacing w:line="360" w:lineRule="auto"/>
              <w:jc w:val="center"/>
              <w:rPr>
                <w:rFonts w:hint="eastAsia" w:ascii="宋体" w:hAnsi="宋体" w:cs="宋体"/>
                <w:color w:val="000000"/>
              </w:rPr>
            </w:pPr>
          </w:p>
        </w:tc>
        <w:tc>
          <w:tcPr>
            <w:tcW w:w="748" w:type="pct"/>
            <w:vMerge w:val="continue"/>
            <w:tcBorders>
              <w:left w:val="single" w:color="000000" w:sz="4" w:space="0"/>
              <w:bottom w:val="single" w:color="000000" w:sz="4" w:space="0"/>
              <w:right w:val="single" w:color="000000" w:sz="4" w:space="0"/>
            </w:tcBorders>
            <w:shd w:val="clear" w:color="auto" w:fill="auto"/>
            <w:vAlign w:val="center"/>
          </w:tcPr>
          <w:p w14:paraId="72FA0AB4">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836D8">
            <w:pPr>
              <w:widowControl/>
              <w:spacing w:line="360" w:lineRule="auto"/>
              <w:jc w:val="center"/>
              <w:textAlignment w:val="center"/>
              <w:rPr>
                <w:rFonts w:hint="eastAsia" w:ascii="宋体" w:hAnsi="宋体" w:eastAsia="宋体" w:cs="宋体"/>
                <w:color w:val="000000"/>
                <w:lang w:eastAsia="zh-CN"/>
              </w:rPr>
            </w:pPr>
            <w:r>
              <w:rPr>
                <w:rFonts w:hint="eastAsia" w:ascii="宋体" w:hAnsi="宋体" w:cs="宋体"/>
                <w:color w:val="000000"/>
                <w:kern w:val="0"/>
                <w:lang w:val="en-US" w:eastAsia="zh-CN" w:bidi="ar"/>
              </w:rPr>
              <w:t>安全培训服务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41A5C67C">
            <w:pPr>
              <w:widowControl/>
              <w:spacing w:line="360" w:lineRule="auto"/>
              <w:jc w:val="center"/>
              <w:textAlignment w:val="top"/>
              <w:rPr>
                <w:rFonts w:hint="eastAsia" w:ascii="宋体" w:hAnsi="宋体" w:cs="宋体"/>
                <w:color w:val="000000"/>
              </w:rPr>
            </w:pPr>
            <w:r>
              <w:rPr>
                <w:rFonts w:hint="eastAsia" w:ascii="Times New Roman" w:hAnsi="Times New Roman" w:eastAsia="宋体" w:cs="Times New Roman"/>
                <w:b w:val="0"/>
                <w:kern w:val="2"/>
                <w:sz w:val="24"/>
                <w:szCs w:val="24"/>
                <w:lang w:val="en-US" w:eastAsia="zh-CN" w:bidi="ar-SA"/>
              </w:rPr>
              <w:t>1次/年</w:t>
            </w:r>
          </w:p>
        </w:tc>
      </w:tr>
      <w:tr w14:paraId="75D02F6B">
        <w:tblPrEx>
          <w:tblCellMar>
            <w:top w:w="0" w:type="dxa"/>
            <w:left w:w="108" w:type="dxa"/>
            <w:bottom w:w="0" w:type="dxa"/>
            <w:right w:w="108" w:type="dxa"/>
          </w:tblCellMar>
        </w:tblPrEx>
        <w:trPr>
          <w:trHeight w:val="288" w:hRule="atLeast"/>
        </w:trPr>
        <w:tc>
          <w:tcPr>
            <w:tcW w:w="531" w:type="pct"/>
            <w:vMerge w:val="restart"/>
            <w:tcBorders>
              <w:top w:val="single" w:color="000000" w:sz="4" w:space="0"/>
              <w:left w:val="single" w:color="000000" w:sz="4" w:space="0"/>
              <w:right w:val="single" w:color="000000" w:sz="4" w:space="0"/>
            </w:tcBorders>
            <w:shd w:val="clear" w:color="auto" w:fill="auto"/>
            <w:vAlign w:val="center"/>
          </w:tcPr>
          <w:p w14:paraId="0CF1E0A9">
            <w:pPr>
              <w:spacing w:line="360" w:lineRule="auto"/>
              <w:jc w:val="center"/>
              <w:rPr>
                <w:rFonts w:hint="eastAsia" w:ascii="宋体" w:hAnsi="宋体" w:eastAsia="宋体" w:cs="宋体"/>
                <w:color w:val="000000"/>
                <w:lang w:val="en-US" w:eastAsia="zh-CN"/>
              </w:rPr>
            </w:pPr>
            <w:r>
              <w:rPr>
                <w:rFonts w:hint="eastAsia" w:ascii="宋体" w:hAnsi="宋体" w:cs="宋体"/>
                <w:color w:val="000000"/>
                <w:lang w:val="en-US" w:eastAsia="zh-CN"/>
              </w:rPr>
              <w:t>3</w:t>
            </w:r>
          </w:p>
        </w:tc>
        <w:tc>
          <w:tcPr>
            <w:tcW w:w="748" w:type="pct"/>
            <w:vMerge w:val="restart"/>
            <w:tcBorders>
              <w:top w:val="single" w:color="000000" w:sz="4" w:space="0"/>
              <w:left w:val="single" w:color="000000" w:sz="4" w:space="0"/>
              <w:right w:val="single" w:color="000000" w:sz="4" w:space="0"/>
            </w:tcBorders>
            <w:shd w:val="clear" w:color="auto" w:fill="auto"/>
            <w:vAlign w:val="center"/>
          </w:tcPr>
          <w:p w14:paraId="380CE6E4">
            <w:pPr>
              <w:spacing w:line="360" w:lineRule="auto"/>
              <w:jc w:val="center"/>
              <w:rPr>
                <w:rFonts w:hint="default" w:ascii="宋体" w:hAnsi="宋体" w:eastAsia="宋体" w:cs="宋体"/>
                <w:color w:val="000000"/>
                <w:lang w:val="en-US" w:eastAsia="zh-CN"/>
              </w:rPr>
            </w:pPr>
            <w:r>
              <w:rPr>
                <w:rFonts w:hint="eastAsia" w:ascii="宋体" w:hAnsi="宋体" w:cs="宋体"/>
                <w:color w:val="000000"/>
                <w:lang w:val="en-US" w:eastAsia="zh-CN"/>
              </w:rPr>
              <w:t>数据安全服务</w:t>
            </w: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C0C91">
            <w:pPr>
              <w:widowControl/>
              <w:spacing w:line="360" w:lineRule="auto"/>
              <w:jc w:val="center"/>
              <w:textAlignment w:val="center"/>
              <w:rPr>
                <w:rFonts w:hint="default" w:ascii="宋体" w:hAnsi="宋体" w:eastAsia="宋体" w:cs="宋体"/>
                <w:color w:val="000000"/>
                <w:lang w:val="en-US" w:eastAsia="zh-CN"/>
              </w:rPr>
            </w:pPr>
            <w:r>
              <w:rPr>
                <w:rFonts w:hint="eastAsia" w:ascii="宋体" w:hAnsi="宋体" w:cs="宋体"/>
                <w:color w:val="000000"/>
                <w:kern w:val="0"/>
                <w:lang w:val="en-US" w:eastAsia="zh-CN" w:bidi="ar"/>
              </w:rPr>
              <w:t>管理制度建设服务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03CC3B0F">
            <w:pPr>
              <w:widowControl/>
              <w:spacing w:line="360" w:lineRule="auto"/>
              <w:jc w:val="center"/>
              <w:textAlignment w:val="top"/>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1次/年</w:t>
            </w:r>
          </w:p>
        </w:tc>
      </w:tr>
      <w:tr w14:paraId="06C06152">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6CBB2179">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6D064434">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1DE2">
            <w:pPr>
              <w:widowControl/>
              <w:spacing w:line="360" w:lineRule="auto"/>
              <w:jc w:val="center"/>
              <w:textAlignment w:val="center"/>
              <w:rPr>
                <w:rFonts w:hint="default" w:ascii="宋体" w:hAnsi="宋体" w:eastAsia="宋体" w:cs="宋体"/>
                <w:color w:val="000000"/>
                <w:lang w:val="en-US" w:eastAsia="zh-CN"/>
              </w:rPr>
            </w:pPr>
            <w:r>
              <w:rPr>
                <w:rFonts w:hint="eastAsia" w:ascii="宋体" w:hAnsi="宋体" w:cs="宋体"/>
                <w:color w:val="000000"/>
                <w:kern w:val="0"/>
                <w:lang w:val="en-US" w:eastAsia="zh-CN" w:bidi="ar"/>
              </w:rPr>
              <w:t>数据安全巡检服务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1D014533">
            <w:pPr>
              <w:widowControl/>
              <w:spacing w:line="360" w:lineRule="auto"/>
              <w:jc w:val="center"/>
              <w:textAlignment w:val="top"/>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4次/年</w:t>
            </w:r>
          </w:p>
        </w:tc>
      </w:tr>
      <w:tr w14:paraId="0C7017EF">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660EAE12">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517DD18D">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23238">
            <w:pPr>
              <w:widowControl/>
              <w:spacing w:line="360" w:lineRule="auto"/>
              <w:jc w:val="center"/>
              <w:textAlignment w:val="center"/>
              <w:rPr>
                <w:rFonts w:hint="eastAsia" w:ascii="宋体" w:hAnsi="宋体" w:cs="宋体"/>
                <w:color w:val="000000"/>
              </w:rPr>
            </w:pPr>
            <w:r>
              <w:rPr>
                <w:rFonts w:hint="eastAsia" w:ascii="宋体" w:hAnsi="宋体" w:cs="宋体"/>
                <w:color w:val="000000"/>
                <w:kern w:val="0"/>
                <w:lang w:val="en-US" w:eastAsia="zh-CN" w:bidi="ar"/>
              </w:rPr>
              <w:t>数据安全自检服务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1EF7F2EC">
            <w:pPr>
              <w:widowControl/>
              <w:spacing w:line="360" w:lineRule="auto"/>
              <w:jc w:val="center"/>
              <w:textAlignment w:val="top"/>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1次/年</w:t>
            </w:r>
          </w:p>
        </w:tc>
      </w:tr>
      <w:tr w14:paraId="620012CC">
        <w:tblPrEx>
          <w:tblCellMar>
            <w:top w:w="0" w:type="dxa"/>
            <w:left w:w="108" w:type="dxa"/>
            <w:bottom w:w="0" w:type="dxa"/>
            <w:right w:w="108" w:type="dxa"/>
          </w:tblCellMar>
        </w:tblPrEx>
        <w:trPr>
          <w:trHeight w:val="288" w:hRule="atLeast"/>
        </w:trPr>
        <w:tc>
          <w:tcPr>
            <w:tcW w:w="531" w:type="pct"/>
            <w:vMerge w:val="continue"/>
            <w:tcBorders>
              <w:left w:val="single" w:color="000000" w:sz="4" w:space="0"/>
              <w:right w:val="single" w:color="000000" w:sz="4" w:space="0"/>
            </w:tcBorders>
            <w:shd w:val="clear" w:color="auto" w:fill="auto"/>
            <w:vAlign w:val="center"/>
          </w:tcPr>
          <w:p w14:paraId="6ABBB0F9">
            <w:pPr>
              <w:spacing w:line="360" w:lineRule="auto"/>
              <w:jc w:val="center"/>
              <w:rPr>
                <w:rFonts w:hint="eastAsia" w:ascii="宋体" w:hAnsi="宋体" w:cs="宋体"/>
                <w:color w:val="000000"/>
              </w:rPr>
            </w:pPr>
          </w:p>
        </w:tc>
        <w:tc>
          <w:tcPr>
            <w:tcW w:w="748" w:type="pct"/>
            <w:vMerge w:val="continue"/>
            <w:tcBorders>
              <w:left w:val="single" w:color="000000" w:sz="4" w:space="0"/>
              <w:right w:val="single" w:color="000000" w:sz="4" w:space="0"/>
            </w:tcBorders>
            <w:shd w:val="clear" w:color="auto" w:fill="auto"/>
            <w:vAlign w:val="center"/>
          </w:tcPr>
          <w:p w14:paraId="34A8DBA9">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50B62">
            <w:pPr>
              <w:widowControl/>
              <w:spacing w:line="360" w:lineRule="auto"/>
              <w:jc w:val="center"/>
              <w:textAlignment w:val="center"/>
              <w:rPr>
                <w:rFonts w:hint="default" w:ascii="宋体" w:hAnsi="宋体" w:eastAsia="宋体" w:cs="宋体"/>
                <w:color w:val="000000"/>
                <w:lang w:val="en-US" w:eastAsia="zh-CN"/>
              </w:rPr>
            </w:pPr>
            <w:r>
              <w:rPr>
                <w:rFonts w:hint="eastAsia" w:ascii="宋体" w:hAnsi="宋体" w:cs="宋体"/>
                <w:color w:val="000000"/>
                <w:kern w:val="0"/>
                <w:lang w:val="en-US" w:eastAsia="zh-CN" w:bidi="ar"/>
              </w:rPr>
              <w:t>测评审查支撑（迎检）服务</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393580CD">
            <w:pPr>
              <w:widowControl/>
              <w:spacing w:line="360" w:lineRule="auto"/>
              <w:jc w:val="center"/>
              <w:textAlignment w:val="top"/>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1次/年</w:t>
            </w:r>
          </w:p>
        </w:tc>
      </w:tr>
      <w:tr w14:paraId="726CCD8A">
        <w:tblPrEx>
          <w:tblCellMar>
            <w:top w:w="0" w:type="dxa"/>
            <w:left w:w="108" w:type="dxa"/>
            <w:bottom w:w="0" w:type="dxa"/>
            <w:right w:w="108" w:type="dxa"/>
          </w:tblCellMar>
        </w:tblPrEx>
        <w:trPr>
          <w:trHeight w:val="288" w:hRule="atLeast"/>
        </w:trPr>
        <w:tc>
          <w:tcPr>
            <w:tcW w:w="531" w:type="pct"/>
            <w:vMerge w:val="continue"/>
            <w:tcBorders>
              <w:left w:val="single" w:color="000000" w:sz="4" w:space="0"/>
              <w:bottom w:val="single" w:color="000000" w:sz="4" w:space="0"/>
              <w:right w:val="single" w:color="000000" w:sz="4" w:space="0"/>
            </w:tcBorders>
            <w:shd w:val="clear" w:color="auto" w:fill="auto"/>
            <w:vAlign w:val="center"/>
          </w:tcPr>
          <w:p w14:paraId="49AC7A5F">
            <w:pPr>
              <w:spacing w:line="360" w:lineRule="auto"/>
              <w:jc w:val="center"/>
              <w:rPr>
                <w:rFonts w:hint="eastAsia" w:ascii="宋体" w:hAnsi="宋体" w:cs="宋体"/>
                <w:color w:val="000000"/>
              </w:rPr>
            </w:pPr>
          </w:p>
        </w:tc>
        <w:tc>
          <w:tcPr>
            <w:tcW w:w="748" w:type="pct"/>
            <w:vMerge w:val="continue"/>
            <w:tcBorders>
              <w:left w:val="single" w:color="000000" w:sz="4" w:space="0"/>
              <w:bottom w:val="single" w:color="000000" w:sz="4" w:space="0"/>
              <w:right w:val="single" w:color="000000" w:sz="4" w:space="0"/>
            </w:tcBorders>
            <w:shd w:val="clear" w:color="auto" w:fill="auto"/>
            <w:vAlign w:val="center"/>
          </w:tcPr>
          <w:p w14:paraId="62065363">
            <w:pPr>
              <w:spacing w:line="360" w:lineRule="auto"/>
              <w:jc w:val="center"/>
              <w:rPr>
                <w:rFonts w:hint="eastAsia" w:ascii="宋体" w:hAnsi="宋体" w:cs="宋体"/>
                <w:color w:val="000000"/>
              </w:rPr>
            </w:pPr>
          </w:p>
        </w:tc>
        <w:tc>
          <w:tcPr>
            <w:tcW w:w="19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F43DA">
            <w:pPr>
              <w:widowControl/>
              <w:spacing w:line="360" w:lineRule="auto"/>
              <w:jc w:val="center"/>
              <w:textAlignment w:val="center"/>
              <w:rPr>
                <w:rFonts w:hint="eastAsia" w:ascii="宋体" w:hAnsi="宋体" w:eastAsia="宋体" w:cs="宋体"/>
                <w:color w:val="000000"/>
                <w:lang w:eastAsia="zh-CN"/>
              </w:rPr>
            </w:pPr>
            <w:r>
              <w:rPr>
                <w:rFonts w:hint="eastAsia" w:ascii="宋体" w:hAnsi="宋体" w:cs="宋体"/>
                <w:color w:val="000000"/>
                <w:kern w:val="0"/>
                <w:lang w:val="en-US" w:eastAsia="zh-CN" w:bidi="ar"/>
              </w:rPr>
              <w:t>数据安全培训</w:t>
            </w:r>
          </w:p>
        </w:tc>
        <w:tc>
          <w:tcPr>
            <w:tcW w:w="1747" w:type="pct"/>
            <w:tcBorders>
              <w:top w:val="single" w:color="000000" w:sz="4" w:space="0"/>
              <w:left w:val="single" w:color="000000" w:sz="4" w:space="0"/>
              <w:bottom w:val="single" w:color="000000" w:sz="4" w:space="0"/>
              <w:right w:val="single" w:color="000000" w:sz="4" w:space="0"/>
            </w:tcBorders>
            <w:shd w:val="clear" w:color="auto" w:fill="auto"/>
          </w:tcPr>
          <w:p w14:paraId="0639AEA0">
            <w:pPr>
              <w:widowControl/>
              <w:spacing w:line="360" w:lineRule="auto"/>
              <w:jc w:val="center"/>
              <w:textAlignment w:val="top"/>
              <w:rPr>
                <w:rFonts w:hint="eastAsia" w:ascii="Times New Roman" w:hAnsi="Times New Roman" w:eastAsia="宋体" w:cs="Times New Roman"/>
                <w:b w:val="0"/>
                <w:kern w:val="2"/>
                <w:sz w:val="24"/>
                <w:szCs w:val="24"/>
                <w:lang w:val="en-US" w:eastAsia="zh-CN" w:bidi="ar-SA"/>
              </w:rPr>
            </w:pPr>
            <w:r>
              <w:rPr>
                <w:rFonts w:hint="eastAsia" w:ascii="Times New Roman" w:hAnsi="Times New Roman" w:eastAsia="宋体" w:cs="Times New Roman"/>
                <w:b w:val="0"/>
                <w:kern w:val="2"/>
                <w:sz w:val="24"/>
                <w:szCs w:val="24"/>
                <w:lang w:val="en-US" w:eastAsia="zh-CN" w:bidi="ar-SA"/>
              </w:rPr>
              <w:t>1次/年</w:t>
            </w:r>
          </w:p>
        </w:tc>
      </w:tr>
    </w:tbl>
    <w:p w14:paraId="403C8526">
      <w:pPr>
        <w:spacing w:line="360" w:lineRule="auto"/>
        <w:outlineLvl w:val="0"/>
        <w:rPr>
          <w:rFonts w:hint="eastAsia" w:ascii="宋体" w:hAnsi="宋体" w:eastAsia="宋体" w:cs="宋体"/>
          <w:b/>
          <w:color w:val="000000"/>
          <w:sz w:val="24"/>
          <w:szCs w:val="24"/>
        </w:rPr>
      </w:pPr>
      <w:r>
        <w:rPr>
          <w:rFonts w:hint="eastAsia" w:ascii="宋体" w:hAnsi="宋体" w:eastAsia="宋体" w:cs="宋体"/>
          <w:b/>
          <w:color w:val="000000"/>
          <w:sz w:val="24"/>
          <w:szCs w:val="24"/>
          <w:lang w:val="en-US" w:eastAsia="zh-CN"/>
        </w:rPr>
        <w:t>三</w:t>
      </w:r>
      <w:r>
        <w:rPr>
          <w:rFonts w:hint="eastAsia" w:ascii="宋体" w:hAnsi="宋体" w:eastAsia="宋体" w:cs="宋体"/>
          <w:b/>
          <w:color w:val="000000"/>
          <w:sz w:val="24"/>
          <w:szCs w:val="24"/>
        </w:rPr>
        <w:t>、</w:t>
      </w:r>
      <w:r>
        <w:rPr>
          <w:rFonts w:hint="eastAsia" w:ascii="宋体" w:hAnsi="宋体" w:eastAsia="宋体" w:cs="宋体"/>
          <w:b/>
          <w:color w:val="000000"/>
          <w:sz w:val="24"/>
          <w:szCs w:val="24"/>
          <w:lang w:val="en-US" w:eastAsia="zh-CN"/>
        </w:rPr>
        <w:t>服务</w:t>
      </w:r>
      <w:r>
        <w:rPr>
          <w:rFonts w:hint="eastAsia" w:ascii="宋体" w:hAnsi="宋体" w:eastAsia="宋体" w:cs="宋体"/>
          <w:b/>
          <w:color w:val="000000"/>
          <w:sz w:val="24"/>
          <w:szCs w:val="24"/>
        </w:rPr>
        <w:t>要求</w:t>
      </w:r>
    </w:p>
    <w:p w14:paraId="24D42D4E">
      <w:pPr>
        <w:spacing w:line="360" w:lineRule="auto"/>
        <w:ind w:firstLine="422" w:firstLineChars="200"/>
        <w:outlineLvl w:val="1"/>
        <w:rPr>
          <w:rFonts w:hint="eastAsia" w:ascii="Times New Roman" w:hAnsi="Times New Roman" w:eastAsia="宋体" w:cs="Times New Roman"/>
          <w:b/>
          <w:bCs/>
          <w:lang w:val="en-US" w:eastAsia="zh-CN"/>
        </w:rPr>
      </w:pPr>
      <w:r>
        <w:rPr>
          <w:rFonts w:hint="eastAsia" w:ascii="Times New Roman" w:hAnsi="Times New Roman" w:eastAsia="宋体" w:cs="Times New Roman"/>
          <w:b/>
          <w:bCs/>
          <w:lang w:eastAsia="zh-CN"/>
        </w:rPr>
        <w:t>（</w:t>
      </w:r>
      <w:r>
        <w:rPr>
          <w:rFonts w:hint="eastAsia" w:ascii="Times New Roman" w:hAnsi="Times New Roman" w:eastAsia="宋体" w:cs="Times New Roman"/>
          <w:b/>
          <w:bCs/>
          <w:lang w:val="en-US" w:eastAsia="zh-CN"/>
        </w:rPr>
        <w:t>一</w:t>
      </w:r>
      <w:r>
        <w:rPr>
          <w:rFonts w:hint="eastAsia" w:ascii="Times New Roman" w:hAnsi="Times New Roman" w:eastAsia="宋体" w:cs="Times New Roman"/>
          <w:b/>
          <w:bCs/>
          <w:lang w:eastAsia="zh-CN"/>
        </w:rPr>
        <w:t>）</w:t>
      </w:r>
      <w:r>
        <w:rPr>
          <w:rFonts w:hint="eastAsia" w:ascii="Times New Roman" w:hAnsi="Times New Roman" w:eastAsia="宋体" w:cs="Times New Roman"/>
          <w:b/>
          <w:bCs/>
          <w:lang w:val="en-US" w:eastAsia="zh-CN"/>
        </w:rPr>
        <w:t>机房运维服务</w:t>
      </w:r>
    </w:p>
    <w:p w14:paraId="4E6CA038">
      <w:pPr>
        <w:spacing w:line="360" w:lineRule="auto"/>
        <w:ind w:firstLine="422" w:firstLineChars="200"/>
        <w:outlineLvl w:val="2"/>
        <w:rPr>
          <w:rFonts w:hint="default"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（1）设备维保服务</w:t>
      </w:r>
    </w:p>
    <w:p w14:paraId="749C44C6">
      <w:pPr>
        <w:spacing w:line="360" w:lineRule="auto"/>
        <w:ind w:firstLine="422" w:firstLineChars="200"/>
        <w:rPr>
          <w:rFonts w:hint="eastAsia" w:ascii="Times New Roman" w:hAnsi="Times New Roman" w:eastAsia="宋体" w:cs="Times New Roman"/>
          <w:b/>
          <w:bCs/>
        </w:rPr>
      </w:pPr>
      <w:r>
        <w:rPr>
          <w:rFonts w:hint="eastAsia" w:ascii="Times New Roman" w:hAnsi="Times New Roman" w:eastAsia="宋体" w:cs="Times New Roman"/>
          <w:b/>
          <w:bCs/>
        </w:rPr>
        <w:t>服务器设备维保清单：</w:t>
      </w:r>
    </w:p>
    <w:p w14:paraId="6B92B984">
      <w:pPr>
        <w:spacing w:line="360" w:lineRule="auto"/>
        <w:ind w:firstLine="420" w:firstLineChars="200"/>
        <w:rPr>
          <w:rFonts w:hint="default" w:ascii="Times New Roman" w:hAnsi="Times New Roman" w:eastAsia="宋体" w:cs="Times New Roman"/>
          <w:b/>
          <w:bCs/>
          <w:lang w:val="en-US" w:eastAsia="zh-CN"/>
        </w:rPr>
      </w:pPr>
      <w:r>
        <w:rPr>
          <w:rFonts w:hint="eastAsia" w:ascii="Times New Roman" w:hAnsi="Times New Roman" w:eastAsia="宋体" w:cs="Times New Roman"/>
          <w:b w:val="0"/>
          <w:bCs w:val="0"/>
          <w:lang w:val="en-US" w:eastAsia="zh-CN"/>
        </w:rPr>
        <w:t>服务器20台，具体清单请现场调研。</w:t>
      </w:r>
    </w:p>
    <w:p w14:paraId="7633D3D5">
      <w:pPr>
        <w:spacing w:line="360" w:lineRule="auto"/>
        <w:ind w:firstLine="422" w:firstLineChars="200"/>
        <w:rPr>
          <w:rFonts w:hint="eastAsia"/>
          <w:b/>
          <w:bCs/>
        </w:rPr>
      </w:pPr>
      <w:r>
        <w:rPr>
          <w:rFonts w:hint="eastAsia"/>
          <w:b/>
          <w:bCs/>
        </w:rPr>
        <w:t>存储设备维保清单：</w:t>
      </w:r>
    </w:p>
    <w:p w14:paraId="60D16DA4">
      <w:pPr>
        <w:spacing w:line="360" w:lineRule="auto"/>
        <w:ind w:firstLine="420" w:firstLineChars="200"/>
        <w:rPr>
          <w:rFonts w:hint="default" w:eastAsiaTheme="minorEastAsia"/>
          <w:b/>
          <w:bCs/>
          <w:lang w:val="en-US" w:eastAsia="zh-CN"/>
        </w:rPr>
      </w:pPr>
      <w:r>
        <w:rPr>
          <w:rFonts w:hint="eastAsia"/>
          <w:b w:val="0"/>
          <w:bCs w:val="0"/>
          <w:lang w:val="en-US" w:eastAsia="zh-CN"/>
        </w:rPr>
        <w:t>存储设备8台，</w:t>
      </w:r>
      <w:r>
        <w:rPr>
          <w:rFonts w:hint="eastAsia" w:ascii="Times New Roman" w:hAnsi="Times New Roman" w:eastAsia="宋体" w:cs="Times New Roman"/>
          <w:b w:val="0"/>
          <w:bCs w:val="0"/>
          <w:lang w:val="en-US" w:eastAsia="zh-CN"/>
        </w:rPr>
        <w:t>具体清单请现场调研。</w:t>
      </w:r>
    </w:p>
    <w:p w14:paraId="36D0A6E2">
      <w:pPr>
        <w:spacing w:line="360" w:lineRule="auto"/>
        <w:ind w:firstLine="422" w:firstLineChars="200"/>
        <w:outlineLvl w:val="2"/>
        <w:rPr>
          <w:rFonts w:hint="eastAsia" w:ascii="Times New Roman" w:hAnsi="Times New Roman" w:eastAsia="宋体" w:cs="Times New Roman"/>
          <w:b/>
          <w:bCs/>
          <w:lang w:val="en-US" w:eastAsia="zh-CN"/>
        </w:rPr>
      </w:pPr>
      <w:bookmarkStart w:id="1" w:name="_Toc29947"/>
      <w:r>
        <w:rPr>
          <w:rFonts w:hint="eastAsia" w:ascii="Times New Roman" w:hAnsi="Times New Roman" w:eastAsia="宋体" w:cs="Times New Roman"/>
          <w:b/>
          <w:bCs/>
          <w:lang w:val="en-US" w:eastAsia="zh-CN"/>
        </w:rPr>
        <w:t>（2）资产梳理服务</w:t>
      </w:r>
      <w:bookmarkEnd w:id="1"/>
    </w:p>
    <w:p w14:paraId="5D7A4AAF">
      <w:pPr>
        <w:spacing w:line="360" w:lineRule="auto"/>
        <w:ind w:firstLine="420" w:firstLineChars="200"/>
      </w:pPr>
      <w:r>
        <w:t>梳理医院现有资产，协助落实设备资产管理，监督并保证设备使用记录完整准确，协助资产使用情况登记并进行拓扑展示。为后续简化运维、缩短运维响应时间，提供运维效率提供帮助，主要内如包括：</w:t>
      </w:r>
    </w:p>
    <w:p w14:paraId="7CFA7F87">
      <w:pPr>
        <w:spacing w:line="360" w:lineRule="auto"/>
        <w:ind w:firstLine="420" w:firstLineChars="200"/>
      </w:pPr>
      <w:r>
        <w:t>告警分析与通知：结合专业运维人员的经验及多种排查工具智能分析关联设备告警信息，缩小故障根源范围，帮助快速定位故障根源，并提供可行的故障解决方案，帮助用户快速解决异常，维护业务平稳运行。</w:t>
      </w:r>
    </w:p>
    <w:p w14:paraId="5EF39477">
      <w:pPr>
        <w:spacing w:line="360" w:lineRule="auto"/>
        <w:ind w:firstLine="420" w:firstLineChars="200"/>
      </w:pPr>
      <w:r>
        <w:t>配置文件管理：运维人员通过配置对比、合规性检查记录设备全量配置操作日志，实现对全网设备配置文件的统一管理和备份，全面提升配置效率、质量和安全性。</w:t>
      </w:r>
    </w:p>
    <w:p w14:paraId="4724CA4F">
      <w:pPr>
        <w:spacing w:line="360" w:lineRule="auto"/>
        <w:ind w:firstLine="420" w:firstLineChars="200"/>
      </w:pPr>
      <w:r>
        <w:t>机房及布线管理：提供机房、弱电井综合布线理线服务，同时协助实现横纵向布线信息的统一有序管理，查询更便捷；联动IT资源监控数据，帮助用户全面掌握机房、管井、布线等哑资源的使用情况。</w:t>
      </w:r>
    </w:p>
    <w:p w14:paraId="7A9A7712">
      <w:pPr>
        <w:spacing w:line="360" w:lineRule="auto"/>
        <w:ind w:firstLine="422" w:firstLineChars="200"/>
        <w:outlineLvl w:val="2"/>
        <w:rPr>
          <w:rFonts w:hint="eastAsia" w:ascii="Times New Roman" w:hAnsi="Times New Roman" w:eastAsia="宋体" w:cs="Times New Roman"/>
          <w:b/>
          <w:bCs/>
          <w:lang w:val="en-US" w:eastAsia="zh-CN"/>
        </w:rPr>
      </w:pPr>
      <w:bookmarkStart w:id="2" w:name="_Toc23903"/>
      <w:r>
        <w:rPr>
          <w:rFonts w:hint="eastAsia" w:ascii="Times New Roman" w:hAnsi="Times New Roman" w:eastAsia="宋体" w:cs="Times New Roman"/>
          <w:b/>
          <w:bCs/>
          <w:lang w:val="en-US" w:eastAsia="zh-CN"/>
        </w:rPr>
        <w:t>（3）备品备件服务</w:t>
      </w:r>
      <w:bookmarkEnd w:id="2"/>
    </w:p>
    <w:p w14:paraId="2578E245">
      <w:pPr>
        <w:spacing w:line="360" w:lineRule="auto"/>
        <w:ind w:firstLine="420" w:firstLineChars="200"/>
      </w:pPr>
      <w:r>
        <w:t>服务期间，若服务范围内核心物理设备出现故障且短时间内时间无法恢复的情况，及时提供备品备件优先恢复业务运行，将损失降到最低，直至设备修复完成。</w:t>
      </w:r>
    </w:p>
    <w:p w14:paraId="2FA7704B">
      <w:pPr>
        <w:spacing w:line="360" w:lineRule="auto"/>
        <w:ind w:firstLine="422" w:firstLineChars="200"/>
        <w:outlineLvl w:val="2"/>
        <w:rPr>
          <w:rFonts w:hint="eastAsia" w:ascii="Times New Roman" w:hAnsi="Times New Roman" w:eastAsia="宋体" w:cs="Times New Roman"/>
          <w:b/>
          <w:bCs/>
          <w:lang w:val="en-US" w:eastAsia="zh-CN"/>
        </w:rPr>
      </w:pPr>
      <w:bookmarkStart w:id="3" w:name="_Toc5862"/>
      <w:r>
        <w:rPr>
          <w:rFonts w:hint="eastAsia" w:ascii="Times New Roman" w:hAnsi="Times New Roman" w:eastAsia="宋体" w:cs="Times New Roman"/>
          <w:b/>
          <w:bCs/>
          <w:lang w:val="en-US" w:eastAsia="zh-CN"/>
        </w:rPr>
        <w:t>（4）应急故障处理服务</w:t>
      </w:r>
      <w:bookmarkEnd w:id="3"/>
    </w:p>
    <w:p w14:paraId="3FBAE9CE">
      <w:pPr>
        <w:spacing w:line="360" w:lineRule="auto"/>
        <w:ind w:firstLine="420" w:firstLineChars="200"/>
      </w:pPr>
      <w:r>
        <w:t>接到用户方故障呼叫后，及时派相关认证工程师做现场服务，现场服务次数和时间不限。</w:t>
      </w:r>
    </w:p>
    <w:p w14:paraId="2D7150DF">
      <w:pPr>
        <w:spacing w:line="360" w:lineRule="auto"/>
        <w:ind w:firstLine="420" w:firstLineChars="200"/>
      </w:pPr>
      <w:r>
        <w:t>1.对于严重故障(影响用户方业务正常运作的故障)，派遣工程师到现场做技术支持。响应时间:15分钟以内；到场时间:接到故障通知后，2小时内到达现场；修复时间:到达用户现场后，4小时内恢复。</w:t>
      </w:r>
    </w:p>
    <w:p w14:paraId="5D4F712D">
      <w:pPr>
        <w:spacing w:line="360" w:lineRule="auto"/>
        <w:ind w:firstLine="420" w:firstLineChars="200"/>
      </w:pPr>
      <w:r>
        <w:t>2.对于一般性故障(不影响用户方业务正常运作的故障)，派遣工程师到现场做技术支持。响应时间:15分钟以内；到场时间:接到故障通知后，4小时内到达现场；修复时间:到达用户现场后，8小时内恢复。</w:t>
      </w:r>
    </w:p>
    <w:p w14:paraId="6BACDE49">
      <w:pPr>
        <w:spacing w:line="360" w:lineRule="auto"/>
        <w:ind w:firstLine="422" w:firstLineChars="200"/>
        <w:outlineLvl w:val="2"/>
        <w:rPr>
          <w:rFonts w:hint="eastAsia" w:ascii="Times New Roman" w:hAnsi="Times New Roman" w:eastAsia="宋体" w:cs="Times New Roman"/>
          <w:b/>
          <w:bCs/>
          <w:lang w:val="en-US" w:eastAsia="zh-CN"/>
        </w:rPr>
      </w:pPr>
      <w:bookmarkStart w:id="4" w:name="_Toc10409"/>
      <w:r>
        <w:rPr>
          <w:rFonts w:hint="eastAsia" w:ascii="Times New Roman" w:hAnsi="Times New Roman" w:eastAsia="宋体" w:cs="Times New Roman"/>
          <w:b/>
          <w:bCs/>
          <w:lang w:val="en-US" w:eastAsia="zh-CN"/>
        </w:rPr>
        <w:t>（5）定期巡检服务</w:t>
      </w:r>
      <w:bookmarkEnd w:id="4"/>
    </w:p>
    <w:p w14:paraId="540D91C4">
      <w:pPr>
        <w:spacing w:line="360" w:lineRule="auto"/>
        <w:ind w:firstLine="422" w:firstLineChars="200"/>
        <w:rPr>
          <w:b/>
          <w:bCs/>
        </w:rPr>
      </w:pPr>
      <w:r>
        <w:rPr>
          <w:b/>
          <w:bCs/>
        </w:rPr>
        <w:t>网络及安全设备巡检维护</w:t>
      </w:r>
    </w:p>
    <w:p w14:paraId="682056B0">
      <w:pPr>
        <w:spacing w:line="360" w:lineRule="auto"/>
        <w:ind w:firstLine="420" w:firstLineChars="200"/>
      </w:pPr>
      <w:r>
        <w:t>服务期限内，每季度对数据中心机房核心网络设备包括交换机、路由器等设备进行巡检，根据巡检结果中发现的不合理或异常情况进行优化。</w:t>
      </w:r>
    </w:p>
    <w:p w14:paraId="5D39ACF0">
      <w:pPr>
        <w:spacing w:line="360" w:lineRule="auto"/>
        <w:ind w:firstLine="420" w:firstLineChars="200"/>
      </w:pPr>
      <w:r>
        <w:t>网络/安全设备主要涉及部件：</w:t>
      </w:r>
    </w:p>
    <w:p w14:paraId="45E84333">
      <w:pPr>
        <w:spacing w:line="360" w:lineRule="auto"/>
        <w:ind w:firstLine="420" w:firstLineChars="200"/>
      </w:pPr>
      <w:r>
        <w:t>系统主板</w:t>
      </w:r>
    </w:p>
    <w:p w14:paraId="081C1162">
      <w:pPr>
        <w:spacing w:line="360" w:lineRule="auto"/>
        <w:ind w:firstLine="420" w:firstLineChars="200"/>
      </w:pPr>
      <w:r>
        <w:t>接口卡和模块</w:t>
      </w:r>
    </w:p>
    <w:p w14:paraId="30615053">
      <w:pPr>
        <w:spacing w:line="360" w:lineRule="auto"/>
        <w:ind w:firstLine="420" w:firstLineChars="200"/>
      </w:pPr>
      <w:r>
        <w:t>电源和电源线</w:t>
      </w:r>
    </w:p>
    <w:p w14:paraId="1AEEDB61">
      <w:pPr>
        <w:spacing w:line="360" w:lineRule="auto"/>
        <w:ind w:firstLine="420" w:firstLineChars="200"/>
      </w:pPr>
      <w:r>
        <w:t>所有连接设备的LED指示灯和各种连接线缆等。</w:t>
      </w:r>
    </w:p>
    <w:p w14:paraId="0495D8A5">
      <w:pPr>
        <w:spacing w:line="360" w:lineRule="auto"/>
        <w:ind w:firstLine="420" w:firstLineChars="200"/>
      </w:pPr>
      <w:r>
        <w:t>数通/安全设备维护主要巡检维护内容：</w:t>
      </w:r>
    </w:p>
    <w:p w14:paraId="4F2AED14">
      <w:pPr>
        <w:spacing w:line="360" w:lineRule="auto"/>
        <w:ind w:firstLine="420" w:firstLineChars="200"/>
      </w:pPr>
      <w:r>
        <w:t>1、检查主机运行状态：对系统I/O状态、设置、日志文件、ErrorReport进行检查分析，清理系统中多余的垃圾文件；</w:t>
      </w:r>
    </w:p>
    <w:p w14:paraId="13070AE2">
      <w:pPr>
        <w:spacing w:line="360" w:lineRule="auto"/>
        <w:ind w:firstLine="420" w:firstLineChars="200"/>
      </w:pPr>
      <w:r>
        <w:t>2、检查设备端口的可用性：对以太网接口、光纤接口及光电转、FC光纤模块等进行重点检查；检查设备LED状态灯；</w:t>
      </w:r>
    </w:p>
    <w:p w14:paraId="6174DB8E">
      <w:pPr>
        <w:spacing w:line="360" w:lineRule="auto"/>
        <w:ind w:firstLine="420" w:firstLineChars="200"/>
      </w:pPr>
      <w:r>
        <w:t>3、检查所有设备的连接件，包括CABLE、电源插座、模块等可能容易导致设备连接出现问题的敏感部件是否处于Available状态；</w:t>
      </w:r>
    </w:p>
    <w:p w14:paraId="5B1BA865">
      <w:pPr>
        <w:spacing w:line="360" w:lineRule="auto"/>
        <w:ind w:firstLine="420" w:firstLineChars="200"/>
      </w:pPr>
      <w:r>
        <w:t>4、环境检查优化，包括电源电压、接地和室内温度、湿度、空气洁净度，及零地电压、零火电压等等；</w:t>
      </w:r>
    </w:p>
    <w:p w14:paraId="0976B12C">
      <w:pPr>
        <w:spacing w:line="360" w:lineRule="auto"/>
        <w:ind w:firstLine="420" w:firstLineChars="200"/>
      </w:pPr>
      <w:r>
        <w:t>5、核心设备性能测试：①功能测试：接口/设备/管理/业务/设备可靠性/设备功率/后台管理/系统恢复时间；②二层性能测试：吞吐量/突发长度/过负荷/转发速率/地址缓存能力/时延/时延抖动/丢包率；③三层性能测试：吞吐量/突发长度/过负荷/转发速率/时延/时延抖动/丢包率/QOS/路由表容量/协议性能/转发附加；④其他。</w:t>
      </w:r>
    </w:p>
    <w:p w14:paraId="174D1D0D">
      <w:pPr>
        <w:spacing w:line="360" w:lineRule="auto"/>
        <w:ind w:firstLine="422" w:firstLineChars="200"/>
        <w:rPr>
          <w:b/>
          <w:bCs/>
        </w:rPr>
      </w:pPr>
      <w:r>
        <w:rPr>
          <w:b/>
          <w:bCs/>
        </w:rPr>
        <w:t>服务器存储设备巡检维护</w:t>
      </w:r>
    </w:p>
    <w:p w14:paraId="2367F8A1">
      <w:pPr>
        <w:spacing w:line="360" w:lineRule="auto"/>
        <w:ind w:firstLine="420" w:firstLineChars="200"/>
      </w:pPr>
      <w:r>
        <w:t>服务期限内，每季度对数据中心机房核心IT业务资产包括服务器、存储、备份一体机等设备进行巡检，根据巡检结果中发现的不合理或异常情况进行优化。</w:t>
      </w:r>
    </w:p>
    <w:p w14:paraId="39E52EC9">
      <w:pPr>
        <w:spacing w:line="360" w:lineRule="auto"/>
        <w:ind w:firstLine="420" w:firstLineChars="200"/>
      </w:pPr>
      <w:r>
        <w:t>服务器/存储/备份主要涉及部件：</w:t>
      </w:r>
    </w:p>
    <w:p w14:paraId="0F555BBC">
      <w:pPr>
        <w:spacing w:line="360" w:lineRule="auto"/>
        <w:ind w:firstLine="420" w:firstLineChars="200"/>
      </w:pPr>
      <w:r>
        <w:t>主机的系统主板</w:t>
      </w:r>
    </w:p>
    <w:p w14:paraId="06E0E064">
      <w:pPr>
        <w:spacing w:line="360" w:lineRule="auto"/>
        <w:ind w:firstLine="420" w:firstLineChars="200"/>
      </w:pPr>
      <w:r>
        <w:t>CPU(含CPU板）</w:t>
      </w:r>
    </w:p>
    <w:p w14:paraId="1991A71B">
      <w:pPr>
        <w:spacing w:line="360" w:lineRule="auto"/>
        <w:ind w:firstLine="420" w:firstLineChars="200"/>
      </w:pPr>
      <w:r>
        <w:t>内存条或内存板</w:t>
      </w:r>
    </w:p>
    <w:p w14:paraId="7D01665C">
      <w:pPr>
        <w:spacing w:line="360" w:lineRule="auto"/>
        <w:ind w:firstLine="420" w:firstLineChars="200"/>
      </w:pPr>
      <w:r>
        <w:t>内置磁盘和外置移动硬盘</w:t>
      </w:r>
    </w:p>
    <w:p w14:paraId="6B33EB4A">
      <w:pPr>
        <w:spacing w:line="360" w:lineRule="auto"/>
        <w:ind w:firstLine="420" w:firstLineChars="200"/>
      </w:pPr>
      <w:r>
        <w:t>各种适配器卡和模块（包括以太网卡、HBA卡、光纤模块）</w:t>
      </w:r>
    </w:p>
    <w:p w14:paraId="6DEC2815">
      <w:pPr>
        <w:spacing w:line="360" w:lineRule="auto"/>
        <w:ind w:firstLine="420" w:firstLineChars="200"/>
      </w:pPr>
      <w:r>
        <w:t>显示器或终端</w:t>
      </w:r>
    </w:p>
    <w:p w14:paraId="60628419">
      <w:pPr>
        <w:spacing w:line="360" w:lineRule="auto"/>
        <w:ind w:firstLine="420" w:firstLineChars="200"/>
      </w:pPr>
      <w:r>
        <w:t>各种内置与外置存储设备，包括磁盘阵列、磁带库、光盘库等</w:t>
      </w:r>
    </w:p>
    <w:p w14:paraId="342288B2">
      <w:pPr>
        <w:spacing w:line="360" w:lineRule="auto"/>
        <w:ind w:firstLine="420" w:firstLineChars="200"/>
      </w:pPr>
      <w:r>
        <w:t>磁盘阵列控制器</w:t>
      </w:r>
    </w:p>
    <w:p w14:paraId="308D6157">
      <w:pPr>
        <w:spacing w:line="360" w:lineRule="auto"/>
        <w:ind w:firstLine="420" w:firstLineChars="200"/>
      </w:pPr>
      <w:r>
        <w:t>磁盘阵列硬盘</w:t>
      </w:r>
    </w:p>
    <w:p w14:paraId="7E5108DD">
      <w:pPr>
        <w:spacing w:line="360" w:lineRule="auto"/>
        <w:ind w:firstLine="420" w:firstLineChars="200"/>
      </w:pPr>
      <w:r>
        <w:t>SAN交换机和SFP短波模块</w:t>
      </w:r>
    </w:p>
    <w:p w14:paraId="0A63C588">
      <w:pPr>
        <w:spacing w:line="360" w:lineRule="auto"/>
        <w:ind w:firstLine="420" w:firstLineChars="200"/>
      </w:pPr>
      <w:r>
        <w:t>服务器/存储的电源和电源线</w:t>
      </w:r>
    </w:p>
    <w:p w14:paraId="6F09C8CD">
      <w:pPr>
        <w:spacing w:line="360" w:lineRule="auto"/>
        <w:ind w:firstLine="420" w:firstLineChars="200"/>
      </w:pPr>
      <w:r>
        <w:t>所有连接设备的LED指示灯和各种连接线缆等。</w:t>
      </w:r>
    </w:p>
    <w:p w14:paraId="2E98B531">
      <w:pPr>
        <w:spacing w:line="360" w:lineRule="auto"/>
        <w:ind w:firstLine="420" w:firstLineChars="200"/>
      </w:pPr>
      <w:r>
        <w:t>服务器/存储/备份设备维护主要巡检维护内容：</w:t>
      </w:r>
    </w:p>
    <w:p w14:paraId="1BE5A50D">
      <w:pPr>
        <w:spacing w:line="360" w:lineRule="auto"/>
        <w:ind w:firstLine="420" w:firstLineChars="200"/>
      </w:pPr>
      <w:r>
        <w:t>1、检查服务器主机运行状态：对系统CPU、内存、I/O状态、进程等检查；对系统设置、日志文件、ErrorReport进行检查分析，清理系统中过时的日志文件和垃圾文件；磁盘空间使用情况检查，要求已经使用空间在80%以下，并且至少有12MB以上的剩余空间；</w:t>
      </w:r>
    </w:p>
    <w:p w14:paraId="0E312A4E">
      <w:pPr>
        <w:spacing w:line="360" w:lineRule="auto"/>
        <w:ind w:firstLine="420" w:firstLineChars="200"/>
      </w:pPr>
      <w:r>
        <w:t>2、检查服务器和存储等外部设备可用性：对磁盘阵列、磁带机、外置光驱、维护终端等的状态、设置进行检查；对风扇、后备电池、磁盘、磁带、键盘等敏感部件进行重点检查；检查设备LED状态灯；查看SAN交换机的ZONE配置信息/交换机状态/风扇状态/电源状态/温度状态/级联状况；</w:t>
      </w:r>
    </w:p>
    <w:p w14:paraId="4ECBB517">
      <w:pPr>
        <w:spacing w:line="360" w:lineRule="auto"/>
        <w:ind w:firstLine="420" w:firstLineChars="200"/>
      </w:pPr>
      <w:r>
        <w:t>3、检查所有服务器、存储和SAN交换机的连接件，包括接口、CABLE、电源插座等可能容易导致设备连接出现问题的敏感部件；检查连接适配卡状态（包括SCSI卡、网卡、HBA卡以及光纤模块等）是否处于Available状态；</w:t>
      </w:r>
    </w:p>
    <w:p w14:paraId="55AB962E">
      <w:pPr>
        <w:spacing w:line="360" w:lineRule="auto"/>
        <w:ind w:firstLine="420" w:firstLineChars="200"/>
      </w:pPr>
      <w:r>
        <w:t>4、环境检查，包括电源电压、接地和室内温度、湿度、空气洁净度，及零地电压、零火电压等等；</w:t>
      </w:r>
    </w:p>
    <w:p w14:paraId="7544C730">
      <w:pPr>
        <w:spacing w:line="360" w:lineRule="auto"/>
        <w:ind w:firstLine="420" w:firstLineChars="200"/>
      </w:pPr>
      <w:r>
        <w:t>5、服务器性能测试：功能测试：可扩展性（硬盘、PCI槽以及内存等扩展能力）/可用性（对热插拔及硬盘、电源、风扇、网卡等冗余设备的支持）/可管理性（随机所带管理软件）；</w:t>
      </w:r>
    </w:p>
    <w:p w14:paraId="6D618238">
      <w:pPr>
        <w:spacing w:line="360" w:lineRule="auto"/>
        <w:ind w:firstLine="420" w:firstLineChars="200"/>
      </w:pPr>
      <w:r>
        <w:t>6、磁盘阵列安全性测试：安全性测试：电源/风扇/硬盘热插拨/硬盘故障；数据备份与恢复测试；</w:t>
      </w:r>
    </w:p>
    <w:p w14:paraId="4E10D891">
      <w:pPr>
        <w:spacing w:line="360" w:lineRule="auto"/>
        <w:ind w:firstLine="420" w:firstLineChars="200"/>
      </w:pPr>
      <w:r>
        <w:t>7、备份一体机性能测试：测试同步数据变化；测试数据增量变化；测试实际环境异常情况。</w:t>
      </w:r>
    </w:p>
    <w:p w14:paraId="1DD10DB6">
      <w:pPr>
        <w:spacing w:line="360" w:lineRule="auto"/>
        <w:ind w:firstLine="420" w:firstLineChars="200"/>
      </w:pPr>
      <w:r>
        <w:t>8、检查系统ERRORLOG并进行记录、分析，实施故障诊断：是否存在永久性不可恢复的硬件错误；读取root邮件等,检查是否有需要处理的部件故障；</w:t>
      </w:r>
    </w:p>
    <w:p w14:paraId="1F9FADD6">
      <w:pPr>
        <w:spacing w:line="360" w:lineRule="auto"/>
        <w:ind w:firstLine="420" w:firstLineChars="200"/>
      </w:pPr>
      <w:r>
        <w:t>9、检查数据备份情况，分析备份策略实用性；</w:t>
      </w:r>
    </w:p>
    <w:p w14:paraId="237BABA4">
      <w:pPr>
        <w:spacing w:line="360" w:lineRule="auto"/>
        <w:ind w:firstLine="420" w:firstLineChars="200"/>
      </w:pPr>
      <w:r>
        <w:t>10、存储间同步镜像数据的检查、数据同步情况分析；</w:t>
      </w:r>
    </w:p>
    <w:p w14:paraId="71DA13A5">
      <w:pPr>
        <w:spacing w:line="360" w:lineRule="auto"/>
        <w:ind w:firstLine="420" w:firstLineChars="200"/>
      </w:pPr>
      <w:r>
        <w:t>11、硬件健康状态检查；</w:t>
      </w:r>
    </w:p>
    <w:p w14:paraId="2BC4426B">
      <w:pPr>
        <w:spacing w:line="360" w:lineRule="auto"/>
        <w:ind w:firstLine="420" w:firstLineChars="200"/>
      </w:pPr>
      <w:r>
        <w:t>12、协助用户机房管理人员分析和日常设备运行中出现的未解决问题并提供建议。</w:t>
      </w:r>
    </w:p>
    <w:p w14:paraId="523E2155">
      <w:pPr>
        <w:spacing w:line="360" w:lineRule="auto"/>
        <w:ind w:firstLine="422" w:firstLineChars="200"/>
        <w:outlineLvl w:val="2"/>
        <w:rPr>
          <w:rFonts w:hint="eastAsia" w:ascii="Times New Roman" w:hAnsi="Times New Roman" w:eastAsia="宋体" w:cs="Times New Roman"/>
          <w:b/>
          <w:bCs/>
          <w:lang w:val="en-US" w:eastAsia="zh-CN"/>
        </w:rPr>
      </w:pPr>
      <w:bookmarkStart w:id="5" w:name="_Toc13579"/>
      <w:r>
        <w:rPr>
          <w:rFonts w:hint="eastAsia" w:ascii="Times New Roman" w:hAnsi="Times New Roman" w:eastAsia="宋体" w:cs="Times New Roman"/>
          <w:b/>
          <w:bCs/>
          <w:lang w:val="en-US" w:eastAsia="zh-CN"/>
        </w:rPr>
        <w:t>（6）虚拟化平台维护服务</w:t>
      </w:r>
      <w:bookmarkEnd w:id="5"/>
    </w:p>
    <w:p w14:paraId="28CB5154">
      <w:pPr>
        <w:spacing w:line="360" w:lineRule="auto"/>
        <w:ind w:firstLine="420" w:firstLineChars="200"/>
      </w:pPr>
      <w:r>
        <w:t>提供虚拟机的日常管理工作，包括虚拟机模板安装、虚拟机配置修改、虚拟机故障处理对于服务范围内的系统软件、应用软件提供版本管理和升级服务。对于发布的相关软件最新版本，与</w:t>
      </w:r>
      <w:r>
        <w:rPr>
          <w:rFonts w:hint="eastAsia"/>
        </w:rPr>
        <w:t>医院</w:t>
      </w:r>
      <w:r>
        <w:t>信息中心一起做好升级工作。若原厂商发布新的系统软件版本或补丁升级程序，提供系统软件版本和补丁测试，以及软件版本和补丁的升级实施服务。</w:t>
      </w:r>
    </w:p>
    <w:p w14:paraId="04C159C3">
      <w:pPr>
        <w:spacing w:line="360" w:lineRule="auto"/>
        <w:ind w:firstLine="422" w:firstLineChars="200"/>
        <w:rPr>
          <w:b/>
          <w:bCs/>
        </w:rPr>
      </w:pPr>
      <w:r>
        <w:rPr>
          <w:b/>
          <w:bCs/>
        </w:rPr>
        <w:t>虚拟化平台日常运维：</w:t>
      </w:r>
    </w:p>
    <w:p w14:paraId="204C9D08">
      <w:pPr>
        <w:spacing w:line="360" w:lineRule="auto"/>
        <w:ind w:firstLine="420" w:firstLineChars="200"/>
      </w:pPr>
      <w:r>
        <w:t>1、服务包括7×24电话服务和现场技术支持服务。</w:t>
      </w:r>
    </w:p>
    <w:p w14:paraId="0447A259">
      <w:pPr>
        <w:spacing w:line="360" w:lineRule="auto"/>
        <w:ind w:firstLine="420" w:firstLineChars="200"/>
      </w:pPr>
      <w:r>
        <w:t>2、对虚拟化平台进行定期日志巡检、资源分配巡检、配置检查。针对不合理配置项提出调整建议，尽可能避免因配置不当造成的系统宕机及数据丢失风险。</w:t>
      </w:r>
    </w:p>
    <w:p w14:paraId="25B20186">
      <w:pPr>
        <w:spacing w:line="360" w:lineRule="auto"/>
        <w:ind w:firstLine="420" w:firstLineChars="200"/>
      </w:pPr>
      <w:r>
        <w:t>3、虚拟化升级服务：按照用户要求对虚拟化系统进行升级（包括补丁安装及软件版本升级），升级前提供完整的升级计划及方案，说明需要停机的时间等，并配合用户进行系统升级完成后的测试、提交系统升级实施报告和测试报告等。</w:t>
      </w:r>
    </w:p>
    <w:p w14:paraId="2AEFA644">
      <w:pPr>
        <w:spacing w:line="360" w:lineRule="auto"/>
        <w:ind w:firstLine="420" w:firstLineChars="200"/>
      </w:pPr>
      <w:r>
        <w:t>4、虚拟化调优服务：对运行的虚拟机进行整体分析，对占用资源较多的虚拟机进行优化，对长期不使用的虚拟机镜像资源重组再利用，对使用频繁的虚拟机进行合理化的调整。</w:t>
      </w:r>
    </w:p>
    <w:p w14:paraId="48E5728F">
      <w:pPr>
        <w:spacing w:line="360" w:lineRule="auto"/>
        <w:ind w:firstLine="420" w:firstLineChars="200"/>
      </w:pPr>
      <w:r>
        <w:t>5、虚拟化架构调整服务：分析虚拟化的整体架构，对于单链路、单主机等情况的架构部署为冗余配置，对于虚拟化后端存储配置不合理的，进行适当调整，提出建议及整改措施。</w:t>
      </w:r>
    </w:p>
    <w:p w14:paraId="720C843A">
      <w:pPr>
        <w:spacing w:line="360" w:lineRule="auto"/>
        <w:ind w:firstLine="420" w:firstLineChars="200"/>
      </w:pPr>
      <w:r>
        <w:t>6、将院区内所有服务器及虚拟化、超融合平台</w:t>
      </w:r>
      <w:r>
        <w:rPr>
          <w:rFonts w:hint="eastAsia"/>
          <w:lang w:val="en-US" w:eastAsia="zh-CN"/>
        </w:rPr>
        <w:t>进行</w:t>
      </w:r>
      <w:r>
        <w:t>资产</w:t>
      </w:r>
      <w:r>
        <w:rPr>
          <w:rFonts w:hint="eastAsia"/>
          <w:lang w:val="en-US" w:eastAsia="zh-CN"/>
        </w:rPr>
        <w:t>梳理</w:t>
      </w:r>
      <w:r>
        <w:t>，并配合完成虚拟化平台新增扩容的安装部署和定期的虚拟机备份工作。</w:t>
      </w:r>
    </w:p>
    <w:p w14:paraId="44BE7643">
      <w:pPr>
        <w:spacing w:line="360" w:lineRule="auto"/>
        <w:ind w:firstLine="422" w:firstLineChars="200"/>
        <w:rPr>
          <w:b/>
          <w:bCs/>
        </w:rPr>
      </w:pPr>
      <w:r>
        <w:rPr>
          <w:b/>
          <w:bCs/>
        </w:rPr>
        <w:t>虚拟机迁移及维护：</w:t>
      </w:r>
    </w:p>
    <w:p w14:paraId="1610F672">
      <w:pPr>
        <w:spacing w:line="360" w:lineRule="auto"/>
        <w:ind w:firstLine="420" w:firstLineChars="200"/>
      </w:pPr>
      <w:r>
        <w:t>特殊时期如业务系统迁移、硬件故障、机房搬迁等，提供虚拟机的迁移服务，包括虚拟机迁移至虚拟机、物理机迁移至虚拟机等，迁移前提供详细的迁移步骤、方案、应急处置措施和回退机制，保证用户数据不丢失和数据完整可用。</w:t>
      </w:r>
    </w:p>
    <w:p w14:paraId="525545BD">
      <w:pPr>
        <w:spacing w:line="360" w:lineRule="auto"/>
        <w:ind w:firstLine="422" w:firstLineChars="200"/>
        <w:rPr>
          <w:b/>
          <w:bCs/>
        </w:rPr>
      </w:pPr>
      <w:r>
        <w:rPr>
          <w:b/>
          <w:bCs/>
        </w:rPr>
        <w:t>日常故障处理：</w:t>
      </w:r>
    </w:p>
    <w:p w14:paraId="364D7493">
      <w:pPr>
        <w:spacing w:line="360" w:lineRule="auto"/>
        <w:ind w:firstLine="420" w:firstLineChars="200"/>
      </w:pPr>
      <w:r>
        <w:t>硬件维护：服务器随着业务的不断增长，对硬件资源不足问题或者出现存储硬件告警需要停机维护。首先做好虚拟机的备份工作：</w:t>
      </w:r>
    </w:p>
    <w:p w14:paraId="273DCB39">
      <w:pPr>
        <w:spacing w:line="360" w:lineRule="auto"/>
        <w:ind w:firstLine="420" w:firstLineChars="200"/>
      </w:pPr>
      <w:r>
        <w:t>在有条件的情况下可以将业务虚机迁移到集群中其他服务器主机上，再将故障服务器切换至维护模式并从HA集群中移除再进行更换操作。</w:t>
      </w:r>
    </w:p>
    <w:p w14:paraId="5F840E52">
      <w:pPr>
        <w:spacing w:line="360" w:lineRule="auto"/>
        <w:ind w:firstLine="420" w:firstLineChars="200"/>
      </w:pPr>
      <w:r>
        <w:t>软件维护：虚拟机定期快照和备份，一旦系统崩溃，则立即恢复虚拟机。</w:t>
      </w:r>
    </w:p>
    <w:p w14:paraId="0C9234B4">
      <w:pPr>
        <w:spacing w:line="360" w:lineRule="auto"/>
        <w:ind w:firstLine="422" w:firstLineChars="200"/>
        <w:outlineLvl w:val="1"/>
        <w:rPr>
          <w:rFonts w:hint="eastAsia" w:ascii="Times New Roman" w:hAnsi="Times New Roman" w:eastAsia="宋体" w:cs="Times New Roman"/>
          <w:b/>
          <w:bCs/>
          <w:lang w:val="en-US" w:eastAsia="zh-CN"/>
        </w:rPr>
      </w:pPr>
      <w:r>
        <w:rPr>
          <w:rFonts w:hint="eastAsia" w:ascii="Times New Roman" w:hAnsi="Times New Roman" w:eastAsia="宋体" w:cs="Times New Roman"/>
          <w:b/>
          <w:bCs/>
          <w:lang w:eastAsia="zh-CN"/>
        </w:rPr>
        <w:t>（</w:t>
      </w:r>
      <w:r>
        <w:rPr>
          <w:rFonts w:hint="eastAsia" w:ascii="Times New Roman" w:hAnsi="Times New Roman" w:eastAsia="宋体" w:cs="Times New Roman"/>
          <w:b/>
          <w:bCs/>
          <w:lang w:val="en-US" w:eastAsia="zh-CN"/>
        </w:rPr>
        <w:t>二</w:t>
      </w:r>
      <w:r>
        <w:rPr>
          <w:rFonts w:hint="eastAsia" w:ascii="Times New Roman" w:hAnsi="Times New Roman" w:eastAsia="宋体" w:cs="Times New Roman"/>
          <w:b/>
          <w:bCs/>
          <w:lang w:eastAsia="zh-CN"/>
        </w:rPr>
        <w:t>）</w:t>
      </w:r>
      <w:r>
        <w:rPr>
          <w:rFonts w:hint="eastAsia" w:ascii="Times New Roman" w:hAnsi="Times New Roman" w:eastAsia="宋体" w:cs="Times New Roman"/>
          <w:b/>
          <w:bCs/>
          <w:lang w:val="en-US" w:eastAsia="zh-CN"/>
        </w:rPr>
        <w:t>安全运营服务</w:t>
      </w:r>
    </w:p>
    <w:p w14:paraId="47C001B4">
      <w:pPr>
        <w:spacing w:line="360" w:lineRule="auto"/>
        <w:ind w:firstLine="422" w:firstLineChars="200"/>
        <w:outlineLvl w:val="2"/>
        <w:rPr>
          <w:rFonts w:hint="eastAsia" w:ascii="Times New Roman" w:hAnsi="Times New Roman" w:eastAsia="宋体" w:cs="Times New Roman"/>
          <w:b/>
          <w:bCs/>
          <w:lang w:val="en-US" w:eastAsia="zh-CN"/>
        </w:rPr>
      </w:pPr>
      <w:bookmarkStart w:id="6" w:name="_Toc18634"/>
      <w:r>
        <w:rPr>
          <w:rFonts w:hint="eastAsia" w:ascii="Times New Roman" w:hAnsi="Times New Roman" w:eastAsia="宋体" w:cs="Times New Roman"/>
          <w:b/>
          <w:bCs/>
          <w:lang w:val="en-US" w:eastAsia="zh-CN"/>
        </w:rPr>
        <w:t>（1）安全日志分析与响应服务</w:t>
      </w:r>
      <w:bookmarkEnd w:id="6"/>
    </w:p>
    <w:p w14:paraId="17E71EE3">
      <w:pPr>
        <w:spacing w:line="360" w:lineRule="auto"/>
        <w:ind w:firstLine="422" w:firstLineChars="200"/>
      </w:pPr>
      <w:r>
        <w:rPr>
          <w:rFonts w:hint="eastAsia"/>
          <w:b/>
          <w:bCs/>
        </w:rPr>
        <w:t>期限频率</w:t>
      </w:r>
      <w:r>
        <w:rPr>
          <w:rFonts w:hint="eastAsia"/>
          <w:b/>
          <w:bCs/>
          <w:lang w:eastAsia="zh-CN"/>
        </w:rPr>
        <w:t>：</w:t>
      </w:r>
      <w:r>
        <w:rPr>
          <w:rFonts w:hint="eastAsia"/>
        </w:rPr>
        <w:t>12次/年。</w:t>
      </w:r>
    </w:p>
    <w:p w14:paraId="0D58F512">
      <w:pPr>
        <w:spacing w:line="360" w:lineRule="auto"/>
        <w:ind w:firstLine="422" w:firstLineChars="200"/>
      </w:pPr>
      <w:r>
        <w:rPr>
          <w:rFonts w:hint="eastAsia"/>
          <w:b/>
          <w:bCs/>
        </w:rPr>
        <w:t>服务范围</w:t>
      </w:r>
      <w:r>
        <w:rPr>
          <w:rFonts w:hint="eastAsia"/>
          <w:b/>
          <w:bCs/>
          <w:lang w:eastAsia="zh-CN"/>
        </w:rPr>
        <w:t>：</w:t>
      </w:r>
      <w:r>
        <w:rPr>
          <w:rFonts w:hint="eastAsia"/>
        </w:rPr>
        <w:t>全部网络安全管控设备，包括信息系统相关威胁感知设备、防火墙设备、应用安全设备等。</w:t>
      </w:r>
    </w:p>
    <w:p w14:paraId="15FE1D31">
      <w:pPr>
        <w:spacing w:line="360" w:lineRule="auto"/>
        <w:ind w:firstLine="422" w:firstLineChars="200"/>
      </w:pPr>
      <w:r>
        <w:rPr>
          <w:rFonts w:hint="eastAsia"/>
          <w:b/>
          <w:bCs/>
        </w:rPr>
        <w:t>服务内容</w:t>
      </w:r>
      <w:r>
        <w:rPr>
          <w:rFonts w:hint="eastAsia"/>
          <w:b/>
          <w:bCs/>
          <w:lang w:eastAsia="zh-CN"/>
        </w:rPr>
        <w:t>：</w:t>
      </w:r>
      <w:r>
        <w:rPr>
          <w:rFonts w:hint="eastAsia"/>
        </w:rPr>
        <w:t>提供高级安全专家服务，按季度为用户提供：</w:t>
      </w:r>
    </w:p>
    <w:p w14:paraId="3DCA04BD">
      <w:pPr>
        <w:spacing w:line="360" w:lineRule="auto"/>
        <w:ind w:firstLine="420" w:firstLineChars="200"/>
      </w:pPr>
      <w:r>
        <w:rPr>
          <w:rFonts w:hint="eastAsia"/>
        </w:rPr>
        <w:t>在现有信息化安全设备大量异构的情况下，梳理安全资产、收集安全设备日志、审查安全策略、评估外部威胁、精准入侵检查、事件溯源分析，通过部署统一安全威胁可视化系统，联动各安全设备，实现封禁和溯源威胁面的目标，同时提供高级安全专家进行事件处置、调优策略，并出具安全加固建议。</w:t>
      </w:r>
    </w:p>
    <w:p w14:paraId="24F98B8B">
      <w:pPr>
        <w:spacing w:line="360" w:lineRule="auto"/>
        <w:ind w:firstLine="420" w:firstLineChars="200"/>
      </w:pPr>
      <w:r>
        <w:rPr>
          <w:rFonts w:hint="eastAsia"/>
        </w:rPr>
        <w:t>（一）安全威胁分析：结合安全感知日志和威胁情报进行深度分析，研判网络中存在的威胁和攻击行为，明确对业务的影响和危害</w:t>
      </w:r>
    </w:p>
    <w:p w14:paraId="6B85F18B">
      <w:pPr>
        <w:spacing w:line="360" w:lineRule="auto"/>
        <w:ind w:firstLine="420" w:firstLineChars="200"/>
      </w:pPr>
      <w:r>
        <w:rPr>
          <w:rFonts w:hint="eastAsia"/>
        </w:rPr>
        <w:t>1.外部威胁评估：综合分析数据，发现攻击威胁、持续性攻击和高级黑客等安全事件；</w:t>
      </w:r>
    </w:p>
    <w:p w14:paraId="60803E01">
      <w:pPr>
        <w:spacing w:line="360" w:lineRule="auto"/>
        <w:ind w:firstLine="420" w:firstLineChars="200"/>
      </w:pPr>
      <w:r>
        <w:rPr>
          <w:rFonts w:hint="eastAsia"/>
        </w:rPr>
        <w:t>2.精准入侵检查：webshell检查、恶意文件查杀、web日志分析、系统状态分析，发现已经被入侵或感染的主机；</w:t>
      </w:r>
    </w:p>
    <w:p w14:paraId="1AA060A3">
      <w:pPr>
        <w:spacing w:line="360" w:lineRule="auto"/>
        <w:ind w:firstLine="420" w:firstLineChars="200"/>
      </w:pPr>
      <w:r>
        <w:rPr>
          <w:rFonts w:hint="eastAsia"/>
        </w:rPr>
        <w:t>3.位置威胁发现：及时对未公开威胁进行评估、针对高危威胁风险进行通告。未知威胁快速规避措施：通过安全策略的运营（例：自定义策略临时防护）临时应对、规避最新爆发的风险。安全功能迭代升级（例：更新规则库、升级安全组件）将防护能力整合到安全设备。</w:t>
      </w:r>
    </w:p>
    <w:p w14:paraId="410051B5">
      <w:pPr>
        <w:spacing w:line="360" w:lineRule="auto"/>
        <w:ind w:firstLine="420" w:firstLineChars="200"/>
      </w:pPr>
      <w:r>
        <w:rPr>
          <w:rFonts w:hint="eastAsia"/>
        </w:rPr>
        <w:t>（二）安全事件处置：对安全事件进行处置，清除恶意文件、快速恢复业务；</w:t>
      </w:r>
    </w:p>
    <w:p w14:paraId="3C44BF68">
      <w:pPr>
        <w:spacing w:line="360" w:lineRule="auto"/>
        <w:ind w:firstLine="420" w:firstLineChars="200"/>
      </w:pPr>
      <w:r>
        <w:rPr>
          <w:rFonts w:hint="eastAsia"/>
        </w:rPr>
        <w:t>1.策略管理：新增资产、业务变更策略调优服务，业务变更时策略随业务变化而同步更新。策略冲突、策略有效性调优服务。</w:t>
      </w:r>
    </w:p>
    <w:p w14:paraId="00EB8E84">
      <w:pPr>
        <w:spacing w:line="360" w:lineRule="auto"/>
        <w:ind w:firstLine="420" w:firstLineChars="200"/>
      </w:pPr>
      <w:r>
        <w:rPr>
          <w:rFonts w:hint="eastAsia"/>
        </w:rPr>
        <w:t>2.攻击对抗：通过攻击日志分析，发现持续性攻击，立即采取行动实时对抗。通过全网大数据分析，发现有境外黑客或高级黑客正在攻击，立即采取行动封锁黑客行为。</w:t>
      </w:r>
    </w:p>
    <w:p w14:paraId="4B8E14A8">
      <w:pPr>
        <w:spacing w:line="360" w:lineRule="auto"/>
        <w:ind w:firstLine="420" w:firstLineChars="200"/>
      </w:pPr>
      <w:r>
        <w:rPr>
          <w:rFonts w:hint="eastAsia"/>
        </w:rPr>
        <w:t>3.事件分析与处置：对用户上报的安全事件进行及时响应。实时针对异常流量分析、攻击日志和病毒日志分析，经过海量数据脱敏、聚合发现安全事件。针对分析得到的勒索病毒、挖矿病毒、篡改事件、webshell、僵尸网络等安全事件，通过工具和方法对恶意文件、代码进行根除，帮助客户快速恢复业务，消除或减轻影响。</w:t>
      </w:r>
    </w:p>
    <w:p w14:paraId="0F1C3EB0">
      <w:pPr>
        <w:spacing w:line="360" w:lineRule="auto"/>
        <w:ind w:firstLine="420" w:firstLineChars="200"/>
      </w:pPr>
      <w:r>
        <w:rPr>
          <w:rFonts w:hint="eastAsia"/>
        </w:rPr>
        <w:t>（三）事件溯源分析：深入分析安全事件的成因，发现存在的薄弱点，溯源攻击路径；</w:t>
      </w:r>
    </w:p>
    <w:p w14:paraId="254A633B">
      <w:pPr>
        <w:spacing w:line="360" w:lineRule="auto"/>
        <w:ind w:firstLine="420" w:firstLineChars="200"/>
      </w:pPr>
      <w:r>
        <w:rPr>
          <w:rFonts w:hint="eastAsia"/>
        </w:rPr>
        <w:t>1.入侵影响抑制：通过事件检测分析，提供抑制手段，降低入侵影响，协助快速恢复业务。</w:t>
      </w:r>
    </w:p>
    <w:p w14:paraId="6A232511">
      <w:pPr>
        <w:spacing w:line="360" w:lineRule="auto"/>
        <w:ind w:firstLine="420" w:firstLineChars="200"/>
      </w:pPr>
      <w:r>
        <w:rPr>
          <w:rFonts w:hint="eastAsia"/>
        </w:rPr>
        <w:t>2.入侵威胁清除：排查攻击路径，恶意文件清除。</w:t>
      </w:r>
    </w:p>
    <w:p w14:paraId="3716DE82">
      <w:pPr>
        <w:spacing w:line="360" w:lineRule="auto"/>
        <w:ind w:firstLine="420" w:firstLineChars="200"/>
      </w:pPr>
      <w:r>
        <w:rPr>
          <w:rFonts w:hint="eastAsia"/>
        </w:rPr>
        <w:t>3.入侵原因分析：还原攻击路径，分析入侵事件原因。</w:t>
      </w:r>
    </w:p>
    <w:p w14:paraId="7DCC634F">
      <w:pPr>
        <w:spacing w:line="360" w:lineRule="auto"/>
        <w:ind w:firstLine="420" w:firstLineChars="200"/>
      </w:pPr>
      <w:r>
        <w:rPr>
          <w:rFonts w:hint="eastAsia"/>
        </w:rPr>
        <w:t>（四）安全加固建议：根据事件发生的根因、影响范围，针对性给出安全加固建议。</w:t>
      </w:r>
    </w:p>
    <w:p w14:paraId="08721A0B">
      <w:pPr>
        <w:spacing w:line="360" w:lineRule="auto"/>
        <w:ind w:firstLine="422" w:firstLineChars="200"/>
        <w:rPr>
          <w:rFonts w:hint="eastAsia"/>
        </w:rPr>
      </w:pPr>
      <w:r>
        <w:rPr>
          <w:rFonts w:hint="eastAsia"/>
          <w:b/>
          <w:bCs/>
        </w:rPr>
        <w:t>输出物</w:t>
      </w:r>
      <w:r>
        <w:rPr>
          <w:rFonts w:hint="eastAsia"/>
          <w:b/>
          <w:bCs/>
          <w:lang w:eastAsia="zh-CN"/>
        </w:rPr>
        <w:t>：</w:t>
      </w:r>
      <w:r>
        <w:t>《安全日志分析与响应报告》</w:t>
      </w:r>
      <w:r>
        <w:rPr>
          <w:rFonts w:hint="eastAsia"/>
        </w:rPr>
        <w:t>。</w:t>
      </w:r>
    </w:p>
    <w:p w14:paraId="053753AB">
      <w:pPr>
        <w:spacing w:line="360" w:lineRule="auto"/>
        <w:ind w:firstLine="422" w:firstLineChars="200"/>
        <w:outlineLvl w:val="2"/>
        <w:rPr>
          <w:rFonts w:hint="eastAsia" w:ascii="Times New Roman" w:hAnsi="Times New Roman" w:eastAsia="宋体" w:cs="Times New Roman"/>
          <w:b/>
          <w:bCs/>
          <w:lang w:val="en-US" w:eastAsia="zh-CN"/>
        </w:rPr>
      </w:pPr>
      <w:bookmarkStart w:id="7" w:name="_Toc19547"/>
      <w:bookmarkStart w:id="8" w:name="_Toc27573"/>
      <w:bookmarkStart w:id="9" w:name="_Toc3234"/>
      <w:r>
        <w:rPr>
          <w:rFonts w:hint="eastAsia" w:ascii="Times New Roman" w:hAnsi="Times New Roman" w:eastAsia="宋体" w:cs="Times New Roman"/>
          <w:b/>
          <w:bCs/>
          <w:lang w:val="en-US" w:eastAsia="zh-CN"/>
        </w:rPr>
        <w:t>（2）漏洞扫描服务</w:t>
      </w:r>
      <w:bookmarkEnd w:id="7"/>
      <w:bookmarkEnd w:id="8"/>
      <w:bookmarkEnd w:id="9"/>
    </w:p>
    <w:p w14:paraId="51C6E6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数据库、操作系统及中间件作为信息系统的核心组件，其安全性直接关系到整个系统的稳定运行和数据安全。因此，本服务旨在通过专业的安全服务工程师对数据库、操作系统及中间件进行漏洞、端口、弱口令检测，发现潜在的安全风险，并提出整改建议，协助开发人员整改，以提高网络安全性。</w:t>
      </w:r>
    </w:p>
    <w:p w14:paraId="4A00027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lang w:val="en-US" w:eastAsia="zh-CN"/>
        </w:rPr>
      </w:pPr>
      <w:r>
        <w:rPr>
          <w:rFonts w:hint="eastAsia" w:ascii="宋体" w:hAnsi="宋体" w:eastAsia="宋体" w:cs="宋体"/>
          <w:b/>
          <w:bCs/>
          <w:lang w:val="en-US" w:eastAsia="zh-CN"/>
        </w:rPr>
        <w:t>服务频次：</w:t>
      </w:r>
      <w:r>
        <w:rPr>
          <w:rFonts w:hint="eastAsia" w:ascii="宋体" w:hAnsi="宋体" w:eastAsia="宋体" w:cs="宋体"/>
          <w:lang w:val="en-US" w:eastAsia="zh-CN"/>
        </w:rPr>
        <w:t>4次/年</w:t>
      </w:r>
    </w:p>
    <w:p w14:paraId="24E220D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lang w:val="en-US" w:eastAsia="zh-CN"/>
        </w:rPr>
      </w:pPr>
      <w:r>
        <w:rPr>
          <w:rFonts w:hint="eastAsia" w:ascii="宋体" w:hAnsi="宋体" w:eastAsia="宋体" w:cs="宋体"/>
          <w:b/>
          <w:bCs/>
          <w:lang w:val="en-US" w:eastAsia="zh-CN"/>
        </w:rPr>
        <w:t>服务内容：</w:t>
      </w:r>
      <w:r>
        <w:rPr>
          <w:rFonts w:hint="eastAsia" w:ascii="宋体" w:hAnsi="宋体" w:eastAsia="宋体" w:cs="宋体"/>
          <w:lang w:val="en-US" w:eastAsia="zh-CN"/>
        </w:rPr>
        <w:t>（一）漏洞扫描与检测</w:t>
      </w:r>
    </w:p>
    <w:p w14:paraId="65ED11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使用系统漏洞扫描工具对数据库、操作系统、中间件等进行漏洞、端口、弱口令扫描。</w:t>
      </w:r>
    </w:p>
    <w:p w14:paraId="155A5E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利用专业级WEB应用扫描工具对被评估对象进行应用检测，以发现网站应用层面可能存在的技术漏洞；包括WEB容器识别，如：Apache、tomcat、Weblogic、WebSphere和Ngix等；支持多种服务端语言探测，如：PHP、JSP、ASP、ASPX和.NET等；支持WEB前端框架探测，如：jQuery、Bootstrap、HTML5等；支持WEB后端开发框架探测，如：Django、Rails、ThinkPHP、Struts等； 支持WEB业务应用探测，如：BBS、CMS和BLOG等（备注：逻辑类漏洞主要通过人工渗透测试完成）支持扫描对象包括：B/S架构类应用漏洞，主要包括：SQL注入、XSS跨站脚本攻击、应用系统弱口令、敏感文件下载、后台用户枚举等。</w:t>
      </w:r>
    </w:p>
    <w:p w14:paraId="6E34F5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（二）漏洞确认与风险评估</w:t>
      </w:r>
    </w:p>
    <w:p w14:paraId="3D448D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对扫描发现的漏洞进行确认，排除误报和无效漏洞。对确认的漏洞进行风险评估，确定其潜在的安全威胁和影响范围。</w:t>
      </w:r>
    </w:p>
    <w:p w14:paraId="621D9A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（三）整改建议与协助</w:t>
      </w:r>
    </w:p>
    <w:p w14:paraId="6DDC0F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根据漏洞的风险评估结果，提出具体的整改建议和改进措施。协助开发人员理解漏洞原理和影响，提供技术支持和整改指导。最后跟踪整改过程，确保漏洞得到及时修复和加固。</w:t>
      </w:r>
    </w:p>
    <w:p w14:paraId="5B3DF44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（四）漏洞闭环</w:t>
      </w:r>
    </w:p>
    <w:p w14:paraId="7A10EE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在协助漏洞修复后，我司会进行一次漏洞复测，验证修复措施是否有效，以及是否还有任何残留的安全风险。通过复测，确保漏洞已经被完全解决，从而保障系统的安全性，最后达到漏洞闭环效果。若复测出漏洞没有被修复完成，继续协助开发人员提供技术支持和整改指导，直至漏洞修复完成。</w:t>
      </w:r>
    </w:p>
    <w:p w14:paraId="0B5553C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lang w:val="en-US" w:eastAsia="zh-CN"/>
        </w:rPr>
      </w:pPr>
      <w:r>
        <w:rPr>
          <w:rFonts w:hint="eastAsia" w:ascii="宋体" w:hAnsi="宋体" w:eastAsia="宋体" w:cs="宋体"/>
          <w:b/>
          <w:bCs/>
          <w:lang w:val="en-US" w:eastAsia="zh-CN"/>
        </w:rPr>
        <w:t>输出物：</w:t>
      </w:r>
      <w:r>
        <w:rPr>
          <w:rFonts w:hint="eastAsia" w:ascii="宋体" w:hAnsi="宋体" w:eastAsia="宋体" w:cs="宋体"/>
          <w:lang w:val="en-US" w:eastAsia="zh-CN"/>
        </w:rPr>
        <w:t>收集漏洞扫描工具输出的结果和数据。整理和分类扫描到的安全漏洞，包括漏洞类型、等级、位置等详细信息。编制漏洞扫描台账，记录扫描的日期、目标系统、扫描工具、发现的漏洞及其修复建议等。最后分析扫描结果，识别关键漏洞和潜在风险，输出《漏洞扫描报告》、《漏洞复测报告》，为安全团队提供决策支持。</w:t>
      </w:r>
    </w:p>
    <w:p w14:paraId="475F921C">
      <w:pPr>
        <w:spacing w:line="360" w:lineRule="auto"/>
        <w:ind w:firstLine="422" w:firstLineChars="200"/>
        <w:outlineLvl w:val="2"/>
        <w:rPr>
          <w:rFonts w:hint="eastAsia" w:ascii="Times New Roman" w:hAnsi="Times New Roman" w:eastAsia="宋体" w:cs="Times New Roman"/>
          <w:b/>
          <w:bCs/>
          <w:lang w:val="en-US" w:eastAsia="zh-CN"/>
        </w:rPr>
      </w:pPr>
      <w:bookmarkStart w:id="10" w:name="_Toc22299"/>
      <w:bookmarkStart w:id="11" w:name="_Toc31365"/>
      <w:bookmarkStart w:id="12" w:name="_Toc21419"/>
      <w:r>
        <w:rPr>
          <w:rFonts w:hint="eastAsia" w:ascii="Times New Roman" w:hAnsi="Times New Roman" w:eastAsia="宋体" w:cs="Times New Roman"/>
          <w:b/>
          <w:bCs/>
          <w:lang w:val="en-US" w:eastAsia="zh-CN"/>
        </w:rPr>
        <w:t>（3）基线核查服务</w:t>
      </w:r>
      <w:bookmarkEnd w:id="10"/>
    </w:p>
    <w:p w14:paraId="34B2C216">
      <w:pPr>
        <w:spacing w:line="360" w:lineRule="auto"/>
        <w:ind w:firstLine="422" w:firstLineChars="200"/>
      </w:pPr>
      <w:r>
        <w:rPr>
          <w:rFonts w:hint="eastAsia"/>
          <w:b/>
          <w:bCs/>
        </w:rPr>
        <w:t>期限频率</w:t>
      </w:r>
      <w:r>
        <w:rPr>
          <w:rFonts w:hint="eastAsia"/>
          <w:b/>
          <w:bCs/>
          <w:lang w:eastAsia="zh-CN"/>
        </w:rPr>
        <w:t>：</w:t>
      </w:r>
      <w:r>
        <w:rPr>
          <w:rFonts w:hint="eastAsia"/>
          <w:lang w:val="en-US" w:eastAsia="zh-CN"/>
        </w:rPr>
        <w:t>按需提供</w:t>
      </w:r>
      <w:r>
        <w:rPr>
          <w:rFonts w:hint="eastAsia"/>
        </w:rPr>
        <w:t>。</w:t>
      </w:r>
    </w:p>
    <w:p w14:paraId="2F188292">
      <w:pPr>
        <w:spacing w:line="360" w:lineRule="auto"/>
        <w:ind w:firstLine="422" w:firstLineChars="200"/>
      </w:pPr>
      <w:r>
        <w:rPr>
          <w:rFonts w:hint="eastAsia"/>
          <w:b/>
          <w:bCs/>
        </w:rPr>
        <w:t>服务范围</w:t>
      </w:r>
      <w:r>
        <w:rPr>
          <w:rFonts w:hint="eastAsia"/>
          <w:b/>
          <w:bCs/>
          <w:lang w:eastAsia="zh-CN"/>
        </w:rPr>
        <w:t>：</w:t>
      </w:r>
      <w:r>
        <w:rPr>
          <w:rFonts w:hint="eastAsia"/>
        </w:rPr>
        <w:t>核心网络设备、安全设备、服务器主机系统等。</w:t>
      </w:r>
    </w:p>
    <w:p w14:paraId="31F02453">
      <w:pPr>
        <w:spacing w:line="360" w:lineRule="auto"/>
        <w:ind w:firstLine="422" w:firstLineChars="200"/>
      </w:pPr>
      <w:r>
        <w:rPr>
          <w:rFonts w:hint="eastAsia"/>
          <w:b/>
          <w:bCs/>
        </w:rPr>
        <w:t>服务内容</w:t>
      </w:r>
      <w:r>
        <w:rPr>
          <w:rFonts w:hint="eastAsia"/>
          <w:b/>
          <w:bCs/>
          <w:lang w:eastAsia="zh-CN"/>
        </w:rPr>
        <w:t>：</w:t>
      </w:r>
      <w:r>
        <w:rPr>
          <w:rFonts w:hint="eastAsia"/>
        </w:rPr>
        <w:t>针对漏洞扫描工具不能有效发现的方面（网络设备的安全策略弱点和部分主机的安全配置错误等）进行安全辅助的一种有效评估手段。服务范围包括各种网络设备、安全设备、主机操作系统、数据库、常见中间件及网络服务应用等。基线核查的服务内容主要集中在设备的账号管理、口令管理、认证授权、日志配置、进程服务、外部端口等几个方面，覆盖与安全问题相关的各个层面。</w:t>
      </w:r>
    </w:p>
    <w:p w14:paraId="35D815CB">
      <w:pPr>
        <w:spacing w:line="360" w:lineRule="auto"/>
        <w:ind w:firstLine="422" w:firstLineChars="200"/>
      </w:pPr>
      <w:r>
        <w:rPr>
          <w:rFonts w:hint="eastAsia"/>
          <w:b/>
          <w:bCs/>
        </w:rPr>
        <w:t>输出物</w:t>
      </w:r>
      <w:r>
        <w:rPr>
          <w:rFonts w:hint="eastAsia"/>
          <w:b/>
          <w:bCs/>
          <w:lang w:eastAsia="zh-CN"/>
        </w:rPr>
        <w:t>：</w:t>
      </w:r>
      <w:r>
        <w:t>《基线核查报告》</w:t>
      </w:r>
      <w:r>
        <w:rPr>
          <w:rFonts w:hint="eastAsia"/>
        </w:rPr>
        <w:t>。</w:t>
      </w:r>
    </w:p>
    <w:p w14:paraId="72227D65">
      <w:pPr>
        <w:spacing w:line="360" w:lineRule="auto"/>
        <w:ind w:firstLine="422" w:firstLineChars="200"/>
        <w:outlineLvl w:val="2"/>
        <w:rPr>
          <w:rFonts w:hint="eastAsia" w:ascii="Times New Roman" w:hAnsi="Times New Roman" w:eastAsia="宋体" w:cs="Times New Roman"/>
          <w:b/>
          <w:bCs/>
          <w:lang w:val="en-US" w:eastAsia="zh-CN"/>
        </w:rPr>
      </w:pPr>
      <w:bookmarkStart w:id="13" w:name="_Toc23406"/>
      <w:r>
        <w:rPr>
          <w:rFonts w:hint="eastAsia" w:ascii="Times New Roman" w:hAnsi="Times New Roman" w:eastAsia="宋体" w:cs="Times New Roman"/>
          <w:b/>
          <w:bCs/>
          <w:lang w:val="en-US" w:eastAsia="zh-CN"/>
        </w:rPr>
        <w:t>（4）渗透测试服务</w:t>
      </w:r>
      <w:bookmarkEnd w:id="13"/>
    </w:p>
    <w:p w14:paraId="1D95842C">
      <w:pPr>
        <w:spacing w:line="360" w:lineRule="auto"/>
        <w:ind w:firstLine="422" w:firstLineChars="200"/>
      </w:pPr>
      <w:r>
        <w:rPr>
          <w:rFonts w:hint="eastAsia"/>
          <w:b/>
          <w:bCs/>
        </w:rPr>
        <w:t>期限频率</w:t>
      </w:r>
      <w:r>
        <w:rPr>
          <w:rFonts w:hint="eastAsia"/>
          <w:b/>
          <w:bCs/>
          <w:lang w:eastAsia="zh-CN"/>
        </w:rPr>
        <w:t>：</w:t>
      </w:r>
      <w:r>
        <w:rPr>
          <w:rFonts w:hint="eastAsia"/>
        </w:rPr>
        <w:t>4次/年。</w:t>
      </w:r>
    </w:p>
    <w:p w14:paraId="461685FE">
      <w:pPr>
        <w:spacing w:line="360" w:lineRule="auto"/>
        <w:ind w:firstLine="422" w:firstLineChars="200"/>
      </w:pPr>
      <w:r>
        <w:rPr>
          <w:rFonts w:hint="eastAsia"/>
          <w:b/>
          <w:bCs/>
        </w:rPr>
        <w:t>服务范围</w:t>
      </w:r>
      <w:r>
        <w:rPr>
          <w:rFonts w:hint="eastAsia"/>
          <w:b/>
          <w:bCs/>
          <w:lang w:eastAsia="zh-CN"/>
        </w:rPr>
        <w:t>：</w:t>
      </w:r>
      <w:r>
        <w:rPr>
          <w:rFonts w:hint="eastAsia"/>
        </w:rPr>
        <w:t>对外业务系统，用户指定业务系统、门户网站等。</w:t>
      </w:r>
    </w:p>
    <w:p w14:paraId="43DED122">
      <w:pPr>
        <w:spacing w:line="360" w:lineRule="auto"/>
        <w:ind w:firstLine="422" w:firstLineChars="200"/>
      </w:pPr>
      <w:r>
        <w:rPr>
          <w:rFonts w:hint="eastAsia"/>
          <w:b/>
          <w:bCs/>
        </w:rPr>
        <w:t>服务内容</w:t>
      </w:r>
      <w:r>
        <w:rPr>
          <w:rFonts w:hint="eastAsia"/>
          <w:b/>
          <w:bCs/>
          <w:lang w:eastAsia="zh-CN"/>
        </w:rPr>
        <w:t>：</w:t>
      </w:r>
      <w:r>
        <w:rPr>
          <w:rFonts w:hint="eastAsia"/>
        </w:rPr>
        <w:t>通过模拟黑客可能使用的工具、分析方法来对信息系统进行模拟攻击，并结合智能工具扫描结果，由高级工程师进行深入的手工测试和分析，识别工具弱点扫描无法发现的问题。主要分析内容包括逻辑缺陷、上传绕过、输入输出校验绕过、数据篡改、功能绕过、异常错误等以及其他专项内容测试与分析，重点发现信息系统应用层业务流程和逻辑上的安全漏洞和敏感信息泄露的风险。渗透测试主要内容包括：</w:t>
      </w:r>
    </w:p>
    <w:p w14:paraId="689A649D">
      <w:pPr>
        <w:spacing w:line="360" w:lineRule="auto"/>
        <w:ind w:firstLine="420" w:firstLineChars="200"/>
      </w:pPr>
      <w:r>
        <w:rPr>
          <w:rFonts w:hint="eastAsia"/>
        </w:rPr>
        <w:t>1、主机操作系统渗透：包括WINDOWS、SOLARIS、AIX、LINUX、SCO、SGI等。</w:t>
      </w:r>
    </w:p>
    <w:p w14:paraId="41ED131A">
      <w:pPr>
        <w:spacing w:line="360" w:lineRule="auto"/>
        <w:ind w:firstLine="420" w:firstLineChars="200"/>
      </w:pPr>
      <w:r>
        <w:rPr>
          <w:rFonts w:hint="eastAsia"/>
        </w:rPr>
        <w:t>2、数据库系统渗透：包括MS-SQL、ORACLE、MYSQL、INFORMIX、SYBASE、DB2等。</w:t>
      </w:r>
    </w:p>
    <w:p w14:paraId="54E978C7">
      <w:pPr>
        <w:spacing w:line="360" w:lineRule="auto"/>
        <w:ind w:firstLine="420" w:firstLineChars="200"/>
      </w:pPr>
      <w:r>
        <w:rPr>
          <w:rFonts w:hint="eastAsia"/>
        </w:rPr>
        <w:t>3、应用系统渗透：对各种应用系统进行渗透测试，如WWW、E-mail、DNS、FTP等。</w:t>
      </w:r>
    </w:p>
    <w:p w14:paraId="4D1D56DD">
      <w:pPr>
        <w:spacing w:line="360" w:lineRule="auto"/>
        <w:ind w:firstLine="422" w:firstLineChars="200"/>
      </w:pPr>
      <w:r>
        <w:rPr>
          <w:rFonts w:hint="eastAsia"/>
          <w:b/>
          <w:bCs/>
        </w:rPr>
        <w:t>输出物</w:t>
      </w:r>
      <w:r>
        <w:t>《渗透测试报告》</w:t>
      </w:r>
      <w:r>
        <w:rPr>
          <w:rFonts w:hint="eastAsia"/>
        </w:rPr>
        <w:t>。</w:t>
      </w:r>
    </w:p>
    <w:p w14:paraId="412800C4">
      <w:pPr>
        <w:spacing w:line="360" w:lineRule="auto"/>
        <w:ind w:firstLine="422" w:firstLineChars="200"/>
        <w:outlineLvl w:val="2"/>
        <w:rPr>
          <w:rFonts w:hint="eastAsia" w:ascii="Times New Roman" w:hAnsi="Times New Roman" w:eastAsia="宋体" w:cs="Times New Roman"/>
          <w:b/>
          <w:bCs/>
          <w:lang w:val="en-US" w:eastAsia="zh-CN"/>
        </w:rPr>
      </w:pPr>
      <w:bookmarkStart w:id="14" w:name="_Toc29167"/>
      <w:r>
        <w:rPr>
          <w:rFonts w:hint="eastAsia" w:ascii="Times New Roman" w:hAnsi="Times New Roman" w:eastAsia="宋体" w:cs="Times New Roman"/>
          <w:b/>
          <w:bCs/>
          <w:lang w:val="en-US" w:eastAsia="zh-CN"/>
        </w:rPr>
        <w:t>（5）漏洞攻击防护服务</w:t>
      </w:r>
      <w:bookmarkEnd w:id="11"/>
      <w:bookmarkEnd w:id="12"/>
      <w:bookmarkEnd w:id="14"/>
    </w:p>
    <w:p w14:paraId="240C5AE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服务内容：</w:t>
      </w:r>
      <w:r>
        <w:rPr>
          <w:rFonts w:hint="eastAsia" w:ascii="宋体" w:hAnsi="宋体" w:eastAsia="宋体" w:cs="宋体"/>
          <w:b w:val="0"/>
          <w:bCs w:val="0"/>
          <w:lang w:val="en-US" w:eastAsia="zh-CN"/>
        </w:rPr>
        <w:t>部署入侵检测防护系统（漏洞防护），通过开展漏洞攻击防护服务，实现对漏洞利用攻击的防护方案。对漏洞利用攻击行为的风险IP发现、处置，保障整体网络安全，保护网络和系统整体安全。</w:t>
      </w:r>
    </w:p>
    <w:p w14:paraId="6A62306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服务期限、频率：</w:t>
      </w:r>
      <w:r>
        <w:rPr>
          <w:rFonts w:hint="eastAsia" w:ascii="宋体" w:hAnsi="宋体" w:eastAsia="宋体" w:cs="宋体"/>
          <w:b w:val="0"/>
          <w:bCs w:val="0"/>
          <w:lang w:val="en-US" w:eastAsia="zh-CN"/>
        </w:rPr>
        <w:t>一年。</w:t>
      </w:r>
    </w:p>
    <w:p w14:paraId="653E9344">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服务工具要求：</w:t>
      </w:r>
      <w:r>
        <w:rPr>
          <w:rFonts w:hint="eastAsia" w:ascii="宋体" w:hAnsi="宋体" w:eastAsia="宋体" w:cs="宋体"/>
          <w:b w:val="0"/>
          <w:bCs w:val="0"/>
          <w:lang w:val="en-US" w:eastAsia="zh-CN"/>
        </w:rPr>
        <w:t>1、采用旁路部署的模式接入网络，不改变组网结构，通过镜像流量智能分析，不对正常业务造成干扰。</w:t>
      </w:r>
    </w:p>
    <w:p w14:paraId="56A7C9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2、采用先进的SSL证书认证技术，构筑坚实可靠的HTTPS安全链接，确保数据传输的完整性与机密性，深度加密防护。</w:t>
      </w:r>
    </w:p>
    <w:p w14:paraId="72E0E0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3、支持给予新用户系统操作步骤引导，帮助用户更好地理解和使用产品中的特定功能或完成特定任务。</w:t>
      </w:r>
    </w:p>
    <w:p w14:paraId="638577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4、利用网络安全技术和算法，对设备的网络和流量进行实时探测和分析，及时发现对设备的攻击或扫描行为。</w:t>
      </w:r>
    </w:p>
    <w:p w14:paraId="052D81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5、支持主动屏蔽。采用大流量分析技术，对含有漏洞探测行为的流量进行针对性屏蔽，使其无法获取到目的资产的漏洞信息。</w:t>
      </w:r>
    </w:p>
    <w:p w14:paraId="506E61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6、基于高频触发、部分爬虫行为的风险分析。采用流量分析手段匹配系统底层内置规则，识别恶意工具的访问、扫描、攻击行为。</w:t>
      </w:r>
    </w:p>
    <w:p w14:paraId="7A7D84D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7、基于规则库的攻击行为分析，库内支持30w+规则，采用漏洞规则比对手段检测中间件、系统框架、数据库、病毒木马等恶意攻击行为。</w:t>
      </w:r>
    </w:p>
    <w:p w14:paraId="4DB0C8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8、首页全视角呈现风险情况，包括但不限于发现风险、阻断风险、网卡状态及流量情况、已拦截风险IP信息、已识别风险ip信息、高中低危风险数统计等。</w:t>
      </w:r>
    </w:p>
    <w:p w14:paraId="422307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9、支持对攻击行为准确判断，根据预设警报规则对异常情况进行记录，并提供系统捕捉到的相关异常信息，包括风险IP、风险等级、告警次数、预警时间等。</w:t>
      </w:r>
    </w:p>
    <w:p w14:paraId="6869999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10、具备风险IP自处理能力。支持批量对风险IP执行阻断/告警两种应对模式，提供通道能够人工对风险IP进行风险等级划分</w:t>
      </w:r>
    </w:p>
    <w:p w14:paraId="626208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11、★支持在IP路由协议(RIP、IGRP、OSPF、IS-IS、BGP、MPLS-VPN）下实现漏洞自动屏蔽。（需提供软件截图证明）</w:t>
      </w:r>
    </w:p>
    <w:p w14:paraId="030A92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12、★双向阻断：同步监听东西向与南北向环境中的多重风险，监听从任意一端发起的攻击、访问、扫描行为及是否存在被攻击的风险，并对其行为采取预警/阻断处理。（需提供软件截图证明）</w:t>
      </w:r>
    </w:p>
    <w:p w14:paraId="6CCEEC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13、二次扫描：具备二次扫描能力。在初次扫描并过滤流量信息后，触发二次扫描机制，对已经过滤的流量数据进行更为深入和详尽的再次审查，提升安全检测的精准度，降低误报漏报情况。</w:t>
      </w:r>
    </w:p>
    <w:p w14:paraId="555035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14、登录安全：支持验证码的开启与关闭功能，以增强用户登录过程的安全性和灵活性。</w:t>
      </w:r>
    </w:p>
    <w:p w14:paraId="7E2A99D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15、未授权访问：新用户首次登录强制修改初始密码。具备密码到期提前提醒的功能，促使用户在密码即将过期之前及时更新密码。</w:t>
      </w:r>
    </w:p>
    <w:p w14:paraId="4E268C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16、支持对内网重要网段进行批量上传防护，对导入的数据进行解析、验证，结合安全策略和规则。支持对防护网段划分“隔离”和“放行”操作。</w:t>
      </w:r>
    </w:p>
    <w:p w14:paraId="55A79B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17、支持内网防护配置列表，对列表内IP开启漏洞防护功能，对蜜罐、诱饵、仿真类主机不加入防护列表。</w:t>
      </w:r>
    </w:p>
    <w:p w14:paraId="759DD2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18、支持通过端口设置扫描范围，支持根据源目端口及端口协议类型进行设置</w:t>
      </w:r>
    </w:p>
    <w:p w14:paraId="496CEF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19、★支持手动录入或自动发现风险IP信息，能够更好地进行风险管理和决策制定。（需提供软件截图证明）</w:t>
      </w:r>
    </w:p>
    <w:p w14:paraId="229871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20、★支持配置风险白名单，允许部分IP进入内网扫描。应用于内网自查漏洞风险、内网存在探测设备等场景。（需提供软件截图证明）</w:t>
      </w:r>
    </w:p>
    <w:p w14:paraId="2F071BD1">
      <w:pPr>
        <w:spacing w:line="360" w:lineRule="auto"/>
        <w:ind w:firstLine="422" w:firstLineChars="200"/>
        <w:outlineLvl w:val="2"/>
        <w:rPr>
          <w:rFonts w:hint="eastAsia" w:ascii="Times New Roman" w:hAnsi="Times New Roman" w:eastAsia="宋体" w:cs="Times New Roman"/>
          <w:b/>
          <w:bCs/>
          <w:lang w:val="en-US" w:eastAsia="zh-CN"/>
        </w:rPr>
      </w:pPr>
      <w:bookmarkStart w:id="15" w:name="_Toc20594"/>
      <w:bookmarkStart w:id="16" w:name="_Toc8901"/>
      <w:bookmarkStart w:id="17" w:name="_Toc11678"/>
      <w:r>
        <w:rPr>
          <w:rFonts w:hint="eastAsia" w:ascii="Times New Roman" w:hAnsi="Times New Roman" w:eastAsia="宋体" w:cs="Times New Roman"/>
          <w:b/>
          <w:bCs/>
          <w:lang w:val="en-US" w:eastAsia="zh-CN"/>
        </w:rPr>
        <w:t>（6）主动安全防护服务</w:t>
      </w:r>
      <w:bookmarkEnd w:id="15"/>
      <w:bookmarkEnd w:id="16"/>
      <w:bookmarkEnd w:id="17"/>
    </w:p>
    <w:p w14:paraId="498C4F8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lang w:val="en-US" w:eastAsia="zh-CN"/>
        </w:rPr>
      </w:pPr>
      <w:r>
        <w:rPr>
          <w:rFonts w:hint="eastAsia" w:ascii="宋体" w:hAnsi="宋体" w:eastAsia="宋体" w:cs="宋体"/>
          <w:b/>
          <w:bCs/>
          <w:lang w:val="en-US" w:eastAsia="zh-CN"/>
        </w:rPr>
        <w:t>服务要求：</w:t>
      </w:r>
      <w:r>
        <w:rPr>
          <w:rFonts w:hint="eastAsia" w:ascii="宋体" w:hAnsi="宋体" w:eastAsia="宋体" w:cs="宋体"/>
          <w:lang w:val="en-US" w:eastAsia="zh-CN"/>
        </w:rPr>
        <w:t>部署漏洞仿真系统，通过漏洞仿真服务的建设，模拟各种业务和漏洞信息，隐匿真实资产信息和弱点漏洞，诱捕攻击者信息，发现潜在的安全威胁，并及时进行处置，从而提高系统的安全性和可靠性。</w:t>
      </w:r>
    </w:p>
    <w:p w14:paraId="7D603E1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lang w:val="en-US" w:eastAsia="zh-CN"/>
        </w:rPr>
      </w:pPr>
      <w:r>
        <w:rPr>
          <w:rFonts w:hint="eastAsia" w:ascii="宋体" w:hAnsi="宋体" w:eastAsia="宋体" w:cs="宋体"/>
          <w:b/>
          <w:bCs/>
          <w:lang w:val="en-US" w:eastAsia="zh-CN"/>
        </w:rPr>
        <w:t>服务期限、频率：</w:t>
      </w:r>
      <w:r>
        <w:rPr>
          <w:rFonts w:hint="eastAsia" w:ascii="宋体" w:hAnsi="宋体" w:eastAsia="宋体" w:cs="宋体"/>
          <w:lang w:val="en-US" w:eastAsia="zh-CN"/>
        </w:rPr>
        <w:t>一年。</w:t>
      </w:r>
    </w:p>
    <w:p w14:paraId="30DF02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服务工具要求：1、采用旁路部署模式接入网络，无需对原始的网络架构和业务流程进行任何修改，不干扰正常业务运行对网络流量进行捕获和分析。</w:t>
      </w:r>
    </w:p>
    <w:p w14:paraId="174962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2、在攻击者入侵的关键路径上部署诱饵和节点，不占用业务环境内实际资源，诱导攻击者转移攻击目标进入与真实网络隔离的蜜网。</w:t>
      </w:r>
    </w:p>
    <w:p w14:paraId="539F24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3、首页采用图表、图形、仪表盘等可视化元素，将训节点情况、攻击事件统计、攻击源IP、攻击趋势等以直观易懂的方式展现。</w:t>
      </w:r>
    </w:p>
    <w:p w14:paraId="0FB6DC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4、不改变本地现有资源情况下，利用空闲IP虚拟出泛漏洞信息散布，扩散业务量将真实业务藏身于虚拟环境内。</w:t>
      </w:r>
    </w:p>
    <w:p w14:paraId="7C075A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5、虚拟泛业务的漏洞依附场景，扩大虚拟业务场景数据量弱化真实业务的存在。</w:t>
      </w:r>
    </w:p>
    <w:p w14:paraId="34F129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6、虚拟出泛漏洞信息，支持选择系统模板内的漏洞信息，支持自定义新增端口开放型风险，支持对风险进行威胁程度设定，扩大漏洞散布范围。</w:t>
      </w:r>
    </w:p>
    <w:p w14:paraId="7FD7DB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7、系统内置41条漏洞服务且不含敏感信息，便于用户部署诱饵系统，通过主动暴露非关键漏洞，诱捕并分析黑客攻击行为，增强安全防护的主动性与智能性。</w:t>
      </w:r>
    </w:p>
    <w:p w14:paraId="4E1491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8、该功能支持对当前部署的漏洞服务进行运行状态监测与评估，提供详尽的漏洞信息查询接口，并允许用户将特定漏洞与主机节点进行关联绑定，实现漏洞管理的精细化。</w:t>
      </w:r>
    </w:p>
    <w:p w14:paraId="315DD6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9、★通过虚拟引流技术识别具有异常的行为特征的流量，引导流量优先走向虚拟业务、仿真漏洞内。（需提供软件截图证明）</w:t>
      </w:r>
    </w:p>
    <w:p w14:paraId="292B41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10、★实时监听诱饵、沙箱以及各个节点的失陷状态，即是否被未经授权的第三方入侵或控制。（需提供软件截图证明）</w:t>
      </w:r>
    </w:p>
    <w:p w14:paraId="6D6B39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11、★发现攻击者触发仿真系统节点，其所有操作都会被详细记录，包括源目IP、源目端口、路径、请求包以及攻击行为记录等。</w:t>
      </w:r>
    </w:p>
    <w:p w14:paraId="2963D7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12、支持对少量触发漏洞服务的行为判断为疑似攻击，根据内置策略达到一定程度的攻击次数后判断为风险并记录在系统内，疑似攻击获取信息包括但不限于漏洞信息、攻击目标、威胁等级、攻击次数、开始/结束时间</w:t>
      </w:r>
    </w:p>
    <w:p w14:paraId="31DF47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13、支持对风险事件的时间序列数据进行综合分析并产生总结报告。允许总结报告存放在系统内，便于后续下载与查阅，确保风险管理流程的高效性与数据的安全性。</w:t>
      </w:r>
    </w:p>
    <w:p w14:paraId="391E2B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14、将恶意程序与命令、文本、工具等正常程序捆绑成一个文件，并通过伪装漏洞、虚拟业务等方式发送给攻击者。</w:t>
      </w:r>
    </w:p>
    <w:p w14:paraId="71B5C7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15、攻击者执行被伪装的木马程序后，管理设备支持通过木马程序远程控制用户计算机，并在后台建立与服务器的连接。反制手段包括文件操作、进程管理、键盘记录、屏幕监控、摄像头控制、权限访问等。</w:t>
      </w:r>
    </w:p>
    <w:p w14:paraId="553845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16、支持获取目标计算机上的敏感信息，包括但不限于账号密码、文件资料、设备指纹信息、网址信息、手机号、社交账号等。</w:t>
      </w:r>
    </w:p>
    <w:p w14:paraId="70B00E67">
      <w:pPr>
        <w:spacing w:line="360" w:lineRule="auto"/>
        <w:ind w:firstLine="422" w:firstLineChars="200"/>
        <w:outlineLvl w:val="2"/>
        <w:rPr>
          <w:rFonts w:hint="eastAsia" w:ascii="Times New Roman" w:hAnsi="Times New Roman" w:eastAsia="宋体" w:cs="Times New Roman"/>
          <w:b/>
          <w:bCs/>
          <w:lang w:val="en-US" w:eastAsia="zh-CN"/>
        </w:rPr>
      </w:pPr>
      <w:bookmarkStart w:id="18" w:name="_Toc27011"/>
      <w:bookmarkStart w:id="19" w:name="_Toc31959"/>
      <w:bookmarkStart w:id="20" w:name="_Toc1508"/>
      <w:r>
        <w:rPr>
          <w:rFonts w:hint="eastAsia" w:ascii="Times New Roman" w:hAnsi="Times New Roman" w:eastAsia="宋体" w:cs="Times New Roman"/>
          <w:b/>
          <w:bCs/>
          <w:lang w:val="en-US" w:eastAsia="zh-CN"/>
        </w:rPr>
        <w:t>（7）安全威胁分析联动服务</w:t>
      </w:r>
      <w:bookmarkEnd w:id="18"/>
      <w:bookmarkEnd w:id="19"/>
      <w:bookmarkEnd w:id="20"/>
    </w:p>
    <w:p w14:paraId="7B0D5E57">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lang w:val="en-US" w:eastAsia="zh-CN"/>
        </w:rPr>
      </w:pPr>
      <w:r>
        <w:rPr>
          <w:rFonts w:hint="eastAsia" w:ascii="宋体" w:hAnsi="宋体" w:eastAsia="宋体" w:cs="宋体"/>
          <w:b/>
          <w:bCs/>
          <w:lang w:val="en-US" w:eastAsia="zh-CN"/>
        </w:rPr>
        <w:t>服务要求：</w:t>
      </w:r>
      <w:r>
        <w:rPr>
          <w:rFonts w:hint="eastAsia" w:ascii="宋体" w:hAnsi="宋体" w:eastAsia="宋体" w:cs="宋体"/>
          <w:lang w:val="en-US" w:eastAsia="zh-CN"/>
        </w:rPr>
        <w:t>部署安全威胁统一管理系统及工具，通过安全威胁检测服务，及时发现并应对各种安全威胁。实现对网络流量、系统日志、应用程序事件等数据的实时监测和分析，发现潜在的恶意行为、漏洞利用和攻击行为，并联动防火墙和漏洞防护设备进行自动阻断。</w:t>
      </w:r>
    </w:p>
    <w:p w14:paraId="007ECB5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lang w:val="en-US" w:eastAsia="zh-CN"/>
        </w:rPr>
      </w:pPr>
      <w:r>
        <w:rPr>
          <w:rFonts w:hint="eastAsia" w:ascii="宋体" w:hAnsi="宋体" w:eastAsia="宋体" w:cs="宋体"/>
          <w:b/>
          <w:bCs/>
          <w:lang w:val="en-US" w:eastAsia="zh-CN"/>
        </w:rPr>
        <w:t>服务期限、频率：</w:t>
      </w:r>
      <w:r>
        <w:rPr>
          <w:rFonts w:hint="eastAsia" w:ascii="宋体" w:hAnsi="宋体" w:eastAsia="宋体" w:cs="宋体"/>
          <w:lang w:val="en-US" w:eastAsia="zh-CN"/>
        </w:rPr>
        <w:t>一年。</w:t>
      </w:r>
    </w:p>
    <w:p w14:paraId="3CA2D84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lang w:val="en-US" w:eastAsia="zh-CN"/>
        </w:rPr>
      </w:pPr>
      <w:r>
        <w:rPr>
          <w:rFonts w:hint="eastAsia" w:ascii="宋体" w:hAnsi="宋体" w:eastAsia="宋体" w:cs="宋体"/>
          <w:b/>
          <w:bCs/>
          <w:lang w:val="en-US" w:eastAsia="zh-CN"/>
        </w:rPr>
        <w:t>服务工具要求：</w:t>
      </w:r>
      <w:r>
        <w:rPr>
          <w:rFonts w:hint="eastAsia" w:ascii="宋体" w:hAnsi="宋体" w:eastAsia="宋体" w:cs="宋体"/>
          <w:lang w:val="en-US" w:eastAsia="zh-CN"/>
        </w:rPr>
        <w:t>1、★支持主流厂商的态势感知、防火墙、入侵检测、蜜罐等安全设备对接并收集互联网风险告警信息。（需提供软件截图证明）</w:t>
      </w:r>
    </w:p>
    <w:p w14:paraId="42049B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2、系统区分“监测类型设备”和“处理类型设备”，对接入设备进行类型和功能区分。</w:t>
      </w:r>
    </w:p>
    <w:p w14:paraId="0A88D7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3、支持对第三方接入设备进行动态连接测试，保障第三方信息的持续收集，快速发现单位网络环境内的异常行为。</w:t>
      </w:r>
    </w:p>
    <w:p w14:paraId="4D7D24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4、提供定制化设备对接服务，配合客户单位拓宽产品联动领域，对产品新版本或是其他厂商或类型的安全产品进行对接开发。</w:t>
      </w:r>
    </w:p>
    <w:p w14:paraId="63FB67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5、首页采用图表、图形、仪表盘等可视化元素，将第三方设备联动情况、攻击情况、攻击事件统计和详情、风险处置统计等以直观易懂的方式展现。</w:t>
      </w:r>
    </w:p>
    <w:p w14:paraId="2FDD4E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6、支持对接入信息进行数据识别分析，列举展示攻击名称、源/目地址、源/目端口、协议、威胁级别、数据来源、开始/结束时间等。</w:t>
      </w:r>
    </w:p>
    <w:p w14:paraId="02BA9B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7、支持对异常告警信息的内容进行判断，通过内部核心动态数据分析技术实现数据来源定位，危险等级判断。</w:t>
      </w:r>
    </w:p>
    <w:p w14:paraId="7DB338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8、通过第三方对接收集到的数据包，对多条数据包进行大规模数据处理、数据清洗和数据分析，比较字段值的相似度和重复性，经过拆分、搭建、选择、重组、整合流程，将多条有效信息组合成一条新的风险告警数据信息进行展示。</w:t>
      </w:r>
    </w:p>
    <w:p w14:paraId="4A3C3A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9、支持大屏对各类安全设备关键数据的集中可视化展示，支持展示内容包括但不限于：</w:t>
      </w:r>
    </w:p>
    <w:p w14:paraId="0F6DC9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10、蜜罐相关指标：蜜罐被攻击漏洞TOP5、攻击源IP TOP5、蜜罐部署及沙箱节点情况。</w:t>
      </w:r>
    </w:p>
    <w:p w14:paraId="2D9768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11、外联检测指标：违规外联行为预警统计。</w:t>
      </w:r>
    </w:p>
    <w:p w14:paraId="47789E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12、威胁入侵指标：威胁入侵事件预警以及风险分布，包括已处置风险IP、新增风险IP处置情况以及各类风险分布情况。</w:t>
      </w:r>
    </w:p>
    <w:p w14:paraId="3BDD9E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13、联动处置指标：威胁处置中心联动设备情况、事件处置进展及攻击事件统计情况。</w:t>
      </w:r>
    </w:p>
    <w:p w14:paraId="018F2A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14、★支持运营中心大屏与AI数字人联动，具备可视化数据分析与智能交互能力。AI数字人可基于大屏展示的安全数据，进行自动分析与辅助解读，支持快捷提问与自然语言交互，实现对系统功能、日志查询、威胁处理、策略配置等内容的快速响应与智能问答，提升安全运营智能化与便捷性。（需提供软件截图证明）</w:t>
      </w:r>
    </w:p>
    <w:p w14:paraId="76A4AF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15、支持调动处置设备，自动对已发现的异常风险进行快速处置，并在风险处置页面记录相关风险信息，包括风险IP、风险类型、风险来源、处置设备、处置结果等信息。</w:t>
      </w:r>
    </w:p>
    <w:p w14:paraId="69F98D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16、支持自主新增风险IP进行提前预防，增加客户对网络环境的把控和灵活应对的手段。</w:t>
      </w:r>
    </w:p>
    <w:p w14:paraId="6BBE3C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17、★横向处置：自定义处置范围，开启横向处置则对内外网所有存在攻击行为的风险IP均进行阻断处置，关闭则对保护网段外的风险进行处置。（需提供软件截图证明）</w:t>
      </w:r>
    </w:p>
    <w:p w14:paraId="117444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18、支持配置内网地址白名单，允许任何IP与白名单内地址进行访问和通信(包括本身);支持配置事件白名单，自动根据规则放行白名单中的事件。</w:t>
      </w:r>
    </w:p>
    <w:p w14:paraId="2B5F6D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cs="宋体"/>
          <w:lang w:val="en-US" w:eastAsia="zh-CN"/>
        </w:rPr>
        <w:t>19、</w:t>
      </w:r>
      <w:r>
        <w:rPr>
          <w:rFonts w:hint="eastAsia" w:ascii="宋体" w:hAnsi="宋体" w:eastAsia="宋体" w:cs="宋体"/>
          <w:lang w:val="en-US" w:eastAsia="zh-CN"/>
        </w:rPr>
        <w:t>支持对系统的用户、机构、角色、岗位等参数进行适当调整，支持对系统的使用者进行权限划分和管理。</w:t>
      </w:r>
    </w:p>
    <w:p w14:paraId="7094C7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lang w:val="en-US" w:eastAsia="zh-CN"/>
        </w:rPr>
      </w:pPr>
      <w:r>
        <w:rPr>
          <w:rFonts w:hint="eastAsia" w:ascii="宋体" w:hAnsi="宋体" w:cs="宋体"/>
          <w:lang w:val="en-US" w:eastAsia="zh-CN"/>
        </w:rPr>
        <w:t>20</w:t>
      </w:r>
      <w:r>
        <w:rPr>
          <w:rFonts w:hint="eastAsia" w:ascii="宋体" w:hAnsi="宋体" w:eastAsia="宋体" w:cs="宋体"/>
          <w:lang w:val="en-US" w:eastAsia="zh-CN"/>
        </w:rPr>
        <w:t>、具备溯源功能，可追踪登录和操作日志，确保用户身份可信，并提供详细的操作记录，以实现对系统安全性和合规性的监控和审计。</w:t>
      </w:r>
    </w:p>
    <w:p w14:paraId="6E930FD9">
      <w:pPr>
        <w:spacing w:line="360" w:lineRule="auto"/>
        <w:ind w:firstLine="422" w:firstLineChars="200"/>
        <w:outlineLvl w:val="2"/>
        <w:rPr>
          <w:rFonts w:hint="eastAsia" w:ascii="Times New Roman" w:hAnsi="Times New Roman" w:eastAsia="宋体" w:cs="Times New Roman"/>
          <w:b/>
          <w:bCs/>
          <w:lang w:val="en-US" w:eastAsia="zh-CN"/>
        </w:rPr>
      </w:pPr>
      <w:bookmarkStart w:id="21" w:name="_Toc28784"/>
      <w:r>
        <w:rPr>
          <w:rFonts w:hint="eastAsia" w:ascii="Times New Roman" w:hAnsi="Times New Roman" w:eastAsia="宋体" w:cs="Times New Roman"/>
          <w:b/>
          <w:bCs/>
          <w:lang w:val="en-US" w:eastAsia="zh-CN"/>
        </w:rPr>
        <w:t>（8）新系统上线评估服务</w:t>
      </w:r>
      <w:bookmarkEnd w:id="21"/>
    </w:p>
    <w:p w14:paraId="0312727D">
      <w:pPr>
        <w:spacing w:line="360" w:lineRule="auto"/>
        <w:ind w:firstLine="422" w:firstLineChars="200"/>
      </w:pPr>
      <w:r>
        <w:rPr>
          <w:rFonts w:hint="eastAsia"/>
          <w:b/>
          <w:bCs/>
        </w:rPr>
        <w:t>期限频率</w:t>
      </w:r>
      <w:r>
        <w:rPr>
          <w:rFonts w:hint="eastAsia"/>
          <w:b/>
          <w:bCs/>
          <w:lang w:eastAsia="zh-CN"/>
        </w:rPr>
        <w:t>：</w:t>
      </w:r>
      <w:r>
        <w:rPr>
          <w:rFonts w:hint="eastAsia"/>
        </w:rPr>
        <w:t>按需提供。</w:t>
      </w:r>
    </w:p>
    <w:p w14:paraId="5CD9ACC9">
      <w:pPr>
        <w:spacing w:line="360" w:lineRule="auto"/>
        <w:ind w:firstLine="422" w:firstLineChars="200"/>
      </w:pPr>
      <w:r>
        <w:rPr>
          <w:rFonts w:hint="eastAsia"/>
          <w:b/>
          <w:bCs/>
        </w:rPr>
        <w:t>服务范围</w:t>
      </w:r>
      <w:r>
        <w:rPr>
          <w:rFonts w:hint="eastAsia"/>
          <w:b/>
          <w:bCs/>
          <w:lang w:eastAsia="zh-CN"/>
        </w:rPr>
        <w:t>：</w:t>
      </w:r>
      <w:r>
        <w:rPr>
          <w:rFonts w:hint="eastAsia"/>
        </w:rPr>
        <w:t>新上线业务系统。</w:t>
      </w:r>
    </w:p>
    <w:p w14:paraId="3950826A">
      <w:pPr>
        <w:spacing w:line="360" w:lineRule="auto"/>
        <w:ind w:firstLine="422" w:firstLineChars="200"/>
      </w:pPr>
      <w:r>
        <w:rPr>
          <w:rFonts w:hint="eastAsia"/>
          <w:b/>
          <w:bCs/>
        </w:rPr>
        <w:t>服务内容</w:t>
      </w:r>
      <w:r>
        <w:rPr>
          <w:rFonts w:hint="eastAsia"/>
          <w:b/>
          <w:bCs/>
          <w:lang w:eastAsia="zh-CN"/>
        </w:rPr>
        <w:t>：</w:t>
      </w:r>
      <w:r>
        <w:rPr>
          <w:rFonts w:hint="eastAsia"/>
        </w:rPr>
        <w:t>在新系统上线前，进行全面的安全脆弱性检查，从源头上减少信息系统存在的安全风险，包括新系统代码审计、渗透测试、安全配置检查、安全功能审核等内容，全面评估系统面临的威胁、弱点、影响和风险，以确定可能的安全问题。同时，针对这些安全问题，提供相应的解决建议，确保系统在面对潜在威胁时能够有效地应对。</w:t>
      </w:r>
    </w:p>
    <w:p w14:paraId="37CD1309">
      <w:pPr>
        <w:spacing w:line="360" w:lineRule="auto"/>
        <w:ind w:firstLine="422" w:firstLineChars="200"/>
      </w:pPr>
      <w:r>
        <w:rPr>
          <w:rFonts w:hint="eastAsia"/>
          <w:b/>
          <w:bCs/>
        </w:rPr>
        <w:t>输出物</w:t>
      </w:r>
      <w:r>
        <w:rPr>
          <w:rFonts w:hint="eastAsia"/>
          <w:b/>
          <w:bCs/>
          <w:lang w:eastAsia="zh-CN"/>
        </w:rPr>
        <w:t>：</w:t>
      </w:r>
      <w:r>
        <w:t>《系统安全评估报告》</w:t>
      </w:r>
      <w:r>
        <w:rPr>
          <w:rFonts w:hint="eastAsia"/>
        </w:rPr>
        <w:t>。</w:t>
      </w:r>
    </w:p>
    <w:p w14:paraId="78E0B21C">
      <w:pPr>
        <w:spacing w:line="360" w:lineRule="auto"/>
        <w:ind w:firstLine="422" w:firstLineChars="200"/>
        <w:outlineLvl w:val="2"/>
        <w:rPr>
          <w:rFonts w:hint="eastAsia" w:ascii="Times New Roman" w:hAnsi="Times New Roman" w:eastAsia="宋体" w:cs="Times New Roman"/>
          <w:b/>
          <w:bCs/>
          <w:lang w:val="en-US" w:eastAsia="zh-CN"/>
        </w:rPr>
      </w:pPr>
      <w:bookmarkStart w:id="22" w:name="_Toc21886"/>
      <w:r>
        <w:rPr>
          <w:rFonts w:hint="eastAsia" w:ascii="Times New Roman" w:hAnsi="Times New Roman" w:eastAsia="宋体" w:cs="Times New Roman"/>
          <w:b/>
          <w:bCs/>
          <w:lang w:val="en-US" w:eastAsia="zh-CN"/>
        </w:rPr>
        <w:t>（9）应急演练服务</w:t>
      </w:r>
      <w:bookmarkEnd w:id="22"/>
    </w:p>
    <w:p w14:paraId="1DAD2415">
      <w:pPr>
        <w:spacing w:line="360" w:lineRule="auto"/>
        <w:ind w:firstLine="422" w:firstLineChars="200"/>
      </w:pPr>
      <w:r>
        <w:rPr>
          <w:rFonts w:hint="eastAsia"/>
          <w:b/>
          <w:bCs/>
        </w:rPr>
        <w:t>期限频率</w:t>
      </w:r>
      <w:r>
        <w:rPr>
          <w:rFonts w:hint="eastAsia"/>
          <w:b/>
          <w:bCs/>
          <w:lang w:eastAsia="zh-CN"/>
        </w:rPr>
        <w:t>：</w:t>
      </w:r>
      <w:r>
        <w:rPr>
          <w:rFonts w:hint="eastAsia"/>
          <w:lang w:val="en-US" w:eastAsia="zh-CN"/>
        </w:rPr>
        <w:t>按需提供</w:t>
      </w:r>
    </w:p>
    <w:p w14:paraId="699008FA">
      <w:pPr>
        <w:spacing w:line="360" w:lineRule="auto"/>
        <w:ind w:firstLine="422" w:firstLineChars="200"/>
      </w:pPr>
      <w:r>
        <w:rPr>
          <w:rFonts w:hint="eastAsia"/>
          <w:b/>
          <w:bCs/>
        </w:rPr>
        <w:t>服务范围</w:t>
      </w:r>
      <w:r>
        <w:rPr>
          <w:rFonts w:hint="eastAsia"/>
          <w:b/>
          <w:bCs/>
          <w:lang w:eastAsia="zh-CN"/>
        </w:rPr>
        <w:t>：</w:t>
      </w:r>
      <w:r>
        <w:rPr>
          <w:rFonts w:hint="eastAsia"/>
        </w:rPr>
        <w:t>用户指定1个信息系统或网站</w:t>
      </w:r>
    </w:p>
    <w:p w14:paraId="2070614E">
      <w:pPr>
        <w:spacing w:line="360" w:lineRule="auto"/>
        <w:ind w:firstLine="422" w:firstLineChars="200"/>
      </w:pPr>
      <w:r>
        <w:rPr>
          <w:rFonts w:hint="eastAsia"/>
          <w:b/>
          <w:bCs/>
        </w:rPr>
        <w:t>服务内容</w:t>
      </w:r>
      <w:r>
        <w:rPr>
          <w:rFonts w:hint="eastAsia"/>
          <w:b/>
          <w:bCs/>
          <w:lang w:eastAsia="zh-CN"/>
        </w:rPr>
        <w:t>：</w:t>
      </w:r>
      <w:r>
        <w:rPr>
          <w:rFonts w:hint="eastAsia"/>
        </w:rPr>
        <w:t>在服务期内，为应对信息系统遇到突发的安全问题如：发生网络入侵事件、大规模病毒爆发、遭受拒绝服务攻击等，无法及时对该事件进行处理或解决的情况，提前针对此类事件进行应急方案的编制和演练，提高应对安全事件的处置能力，预防和减少安全事件造成的危害和损失</w:t>
      </w:r>
    </w:p>
    <w:p w14:paraId="05A22AA1">
      <w:pPr>
        <w:spacing w:line="360" w:lineRule="auto"/>
        <w:ind w:firstLine="420" w:firstLineChars="200"/>
      </w:pPr>
      <w:r>
        <w:rPr>
          <w:rFonts w:hint="eastAsia"/>
        </w:rPr>
        <w:t>通过应急演练预案，并协助各级单位开展预案演练，提高应对安全事件的处置能力，预防和减少安全事件造成的危害和损失。应急演练是应急响应事件发生的场景模拟，通过对事件频发、危害性高、影响范围大的特定信息安全事件进行演练，以期在遇到此类信息安全事件应急响应处置过程中，发现问题，及时响应，快速处置的目的</w:t>
      </w:r>
    </w:p>
    <w:p w14:paraId="1326C088">
      <w:pPr>
        <w:spacing w:line="360" w:lineRule="auto"/>
        <w:ind w:firstLine="422" w:firstLineChars="200"/>
      </w:pPr>
      <w:r>
        <w:rPr>
          <w:rFonts w:hint="eastAsia"/>
          <w:b/>
          <w:bCs/>
        </w:rPr>
        <w:t>服务要求</w:t>
      </w:r>
      <w:r>
        <w:rPr>
          <w:rFonts w:hint="eastAsia"/>
          <w:b/>
          <w:bCs/>
          <w:lang w:eastAsia="zh-CN"/>
        </w:rPr>
        <w:t>：</w:t>
      </w:r>
      <w:r>
        <w:rPr>
          <w:rFonts w:hint="eastAsia"/>
        </w:rPr>
        <w:t>可选演练场景应包括但不限于：</w:t>
      </w:r>
    </w:p>
    <w:p w14:paraId="5A38DE50">
      <w:pPr>
        <w:spacing w:line="360" w:lineRule="auto"/>
        <w:ind w:firstLine="420" w:firstLineChars="200"/>
      </w:pPr>
      <w:r>
        <w:rPr>
          <w:rFonts w:hint="eastAsia"/>
        </w:rPr>
        <w:t>入侵系统攻击安全事件</w:t>
      </w:r>
    </w:p>
    <w:p w14:paraId="30256E57">
      <w:pPr>
        <w:spacing w:line="360" w:lineRule="auto"/>
        <w:ind w:firstLine="420" w:firstLineChars="200"/>
      </w:pPr>
      <w:r>
        <w:rPr>
          <w:rFonts w:hint="eastAsia"/>
        </w:rPr>
        <w:t>拒绝服务攻击安全事件</w:t>
      </w:r>
    </w:p>
    <w:p w14:paraId="0048EDDB">
      <w:pPr>
        <w:spacing w:line="360" w:lineRule="auto"/>
        <w:ind w:firstLine="420" w:firstLineChars="200"/>
      </w:pPr>
      <w:r>
        <w:rPr>
          <w:rFonts w:hint="eastAsia"/>
        </w:rPr>
        <w:t>病毒与木马攻击安全事件</w:t>
      </w:r>
    </w:p>
    <w:p w14:paraId="5937EED2">
      <w:pPr>
        <w:spacing w:line="360" w:lineRule="auto"/>
        <w:ind w:firstLine="420" w:firstLineChars="200"/>
      </w:pPr>
      <w:r>
        <w:rPr>
          <w:rFonts w:hint="eastAsia"/>
        </w:rPr>
        <w:t>网站页面篡改安全事件</w:t>
      </w:r>
    </w:p>
    <w:p w14:paraId="1160595B">
      <w:pPr>
        <w:spacing w:line="360" w:lineRule="auto"/>
        <w:ind w:firstLine="420" w:firstLineChars="200"/>
      </w:pPr>
      <w:r>
        <w:rPr>
          <w:rFonts w:hint="eastAsia"/>
        </w:rPr>
        <w:t>数据库内部误操作</w:t>
      </w:r>
    </w:p>
    <w:p w14:paraId="281266D2">
      <w:pPr>
        <w:spacing w:line="360" w:lineRule="auto"/>
        <w:ind w:firstLine="420" w:firstLineChars="200"/>
      </w:pPr>
      <w:r>
        <w:rPr>
          <w:rFonts w:hint="eastAsia"/>
        </w:rPr>
        <w:t>可选演练内容应包括但不限于：</w:t>
      </w:r>
    </w:p>
    <w:p w14:paraId="32C4FE50">
      <w:pPr>
        <w:spacing w:line="360" w:lineRule="auto"/>
        <w:ind w:firstLine="420" w:firstLineChars="200"/>
      </w:pPr>
      <w:r>
        <w:rPr>
          <w:rFonts w:hint="eastAsia"/>
        </w:rPr>
        <w:t>信息篡改：模拟针对网站首页篡改事件的监控和处理（利用上传漏洞或者弱口令实施攻击）。</w:t>
      </w:r>
    </w:p>
    <w:p w14:paraId="357FEB8A">
      <w:pPr>
        <w:spacing w:line="360" w:lineRule="auto"/>
        <w:ind w:firstLine="420" w:firstLineChars="200"/>
      </w:pPr>
      <w:r>
        <w:rPr>
          <w:rFonts w:hint="eastAsia"/>
        </w:rPr>
        <w:t>拒绝服务：模拟从外部发起的针对网站的拒绝服务攻击事件的监控和处理（UD\CC等DDOS攻击工具）。</w:t>
      </w:r>
    </w:p>
    <w:p w14:paraId="67353D16">
      <w:pPr>
        <w:spacing w:line="360" w:lineRule="auto"/>
        <w:ind w:firstLine="420" w:firstLineChars="200"/>
      </w:pPr>
      <w:r>
        <w:rPr>
          <w:rFonts w:hint="eastAsia"/>
        </w:rPr>
        <w:t>恶意代码：模拟某恶意攻击者，利用系统的弱口令，利用windows共享管理服务（tcp/445），获得对服务器的控制权限。</w:t>
      </w:r>
    </w:p>
    <w:p w14:paraId="07DEE628">
      <w:pPr>
        <w:spacing w:line="360" w:lineRule="auto"/>
        <w:ind w:firstLine="420" w:firstLineChars="200"/>
      </w:pPr>
      <w:r>
        <w:rPr>
          <w:rFonts w:hint="eastAsia"/>
        </w:rPr>
        <w:t>DNS劫持：模拟由于网站的域名解析管理账号存在弱口令，域名权威解析被篡改事件。</w:t>
      </w:r>
    </w:p>
    <w:p w14:paraId="5D4C1300">
      <w:pPr>
        <w:spacing w:line="360" w:lineRule="auto"/>
        <w:ind w:firstLine="422" w:firstLineChars="200"/>
      </w:pPr>
      <w:r>
        <w:rPr>
          <w:rFonts w:hint="eastAsia"/>
          <w:b/>
          <w:bCs/>
        </w:rPr>
        <w:t>输出物</w:t>
      </w:r>
      <w:r>
        <w:rPr>
          <w:rFonts w:hint="eastAsia"/>
          <w:b/>
          <w:bCs/>
          <w:lang w:eastAsia="zh-CN"/>
        </w:rPr>
        <w:t>：</w:t>
      </w:r>
      <w:r>
        <w:t>《应急演练总结报告》</w:t>
      </w:r>
    </w:p>
    <w:p w14:paraId="1BDE49D6">
      <w:pPr>
        <w:spacing w:line="360" w:lineRule="auto"/>
        <w:ind w:firstLine="422" w:firstLineChars="200"/>
        <w:outlineLvl w:val="2"/>
        <w:rPr>
          <w:rFonts w:hint="eastAsia" w:ascii="Times New Roman" w:hAnsi="Times New Roman" w:eastAsia="宋体" w:cs="Times New Roman"/>
          <w:b/>
          <w:bCs/>
          <w:lang w:val="en-US" w:eastAsia="zh-CN"/>
        </w:rPr>
      </w:pPr>
      <w:bookmarkStart w:id="23" w:name="_Toc10307"/>
      <w:r>
        <w:rPr>
          <w:rFonts w:hint="eastAsia" w:ascii="Times New Roman" w:hAnsi="Times New Roman" w:eastAsia="宋体" w:cs="Times New Roman"/>
          <w:b/>
          <w:bCs/>
          <w:lang w:val="en-US" w:eastAsia="zh-CN"/>
        </w:rPr>
        <w:t>（10）重保值守响应服务</w:t>
      </w:r>
      <w:bookmarkEnd w:id="23"/>
    </w:p>
    <w:p w14:paraId="114C865C">
      <w:pPr>
        <w:spacing w:line="360" w:lineRule="auto"/>
        <w:ind w:firstLine="422" w:firstLineChars="200"/>
      </w:pPr>
      <w:r>
        <w:rPr>
          <w:rFonts w:hint="eastAsia"/>
          <w:b/>
          <w:bCs/>
        </w:rPr>
        <w:t>期限频率</w:t>
      </w:r>
      <w:r>
        <w:rPr>
          <w:rFonts w:hint="eastAsia"/>
          <w:b/>
          <w:bCs/>
          <w:lang w:eastAsia="zh-CN"/>
        </w:rPr>
        <w:t>：</w:t>
      </w:r>
      <w:r>
        <w:rPr>
          <w:rFonts w:hint="eastAsia"/>
        </w:rPr>
        <w:t>按需提供。</w:t>
      </w:r>
    </w:p>
    <w:p w14:paraId="0A1D9CAF">
      <w:pPr>
        <w:spacing w:line="360" w:lineRule="auto"/>
        <w:ind w:firstLine="422" w:firstLineChars="200"/>
      </w:pPr>
      <w:r>
        <w:rPr>
          <w:rFonts w:hint="eastAsia"/>
          <w:b/>
          <w:bCs/>
        </w:rPr>
        <w:t>服务范围</w:t>
      </w:r>
      <w:r>
        <w:rPr>
          <w:rFonts w:hint="eastAsia"/>
          <w:b/>
          <w:bCs/>
          <w:lang w:eastAsia="zh-CN"/>
        </w:rPr>
        <w:t>：</w:t>
      </w:r>
      <w:r>
        <w:rPr>
          <w:rFonts w:hint="eastAsia"/>
        </w:rPr>
        <w:t>涵盖医院信息系统网络。</w:t>
      </w:r>
    </w:p>
    <w:p w14:paraId="75AFC47E">
      <w:pPr>
        <w:spacing w:line="360" w:lineRule="auto"/>
        <w:ind w:firstLine="422" w:firstLineChars="200"/>
      </w:pPr>
      <w:r>
        <w:rPr>
          <w:rFonts w:hint="eastAsia"/>
          <w:b/>
          <w:bCs/>
        </w:rPr>
        <w:t>服务内容</w:t>
      </w:r>
      <w:r>
        <w:rPr>
          <w:rFonts w:hint="eastAsia"/>
          <w:b/>
          <w:bCs/>
          <w:lang w:eastAsia="zh-CN"/>
        </w:rPr>
        <w:t>：</w:t>
      </w:r>
      <w:r>
        <w:rPr>
          <w:rFonts w:hint="eastAsia"/>
        </w:rPr>
        <w:t>提供高级安全专家、安全服务工程师特殊时期提供人员保障服务。</w:t>
      </w:r>
    </w:p>
    <w:p w14:paraId="2F9CE8A5">
      <w:pPr>
        <w:spacing w:line="360" w:lineRule="auto"/>
        <w:ind w:firstLine="420" w:firstLineChars="200"/>
      </w:pPr>
      <w:r>
        <w:rPr>
          <w:rFonts w:hint="eastAsia"/>
        </w:rPr>
        <w:t>特殊时刻人员值守：重大节日、活动、会议期间，提供人员值守服务对安全事件进行预防、监测、处置及溯源，保障信息系统安全稳定运行，及时封堵已知、未知攻击行为，确保重保期间不发生网络安全事件，对于发现的网络威胁情况能够紧急处理。</w:t>
      </w:r>
    </w:p>
    <w:p w14:paraId="63DD47BD">
      <w:pPr>
        <w:spacing w:line="360" w:lineRule="auto"/>
        <w:ind w:firstLine="422" w:firstLineChars="200"/>
      </w:pPr>
      <w:r>
        <w:rPr>
          <w:rFonts w:hint="eastAsia"/>
          <w:b/>
          <w:bCs/>
        </w:rPr>
        <w:t>服务要求</w:t>
      </w:r>
      <w:r>
        <w:rPr>
          <w:rFonts w:hint="eastAsia"/>
          <w:b/>
          <w:bCs/>
          <w:lang w:eastAsia="zh-CN"/>
        </w:rPr>
        <w:t>：</w:t>
      </w:r>
      <w:r>
        <w:rPr>
          <w:rFonts w:hint="eastAsia"/>
        </w:rPr>
        <w:t>1.重保前检查：针对信息资产及系统现状进行详细调研，并根据调研信息开展安全自查和整改工作，做好充分的准备工作。</w:t>
      </w:r>
    </w:p>
    <w:p w14:paraId="63E5D4E3">
      <w:pPr>
        <w:spacing w:line="360" w:lineRule="auto"/>
        <w:ind w:firstLine="420" w:firstLineChars="200"/>
      </w:pPr>
      <w:r>
        <w:rPr>
          <w:rFonts w:hint="eastAsia"/>
        </w:rPr>
        <w:t>2.重保中响应：安排专业值守人员和在线工程师做好安全防护和保障工作，第一时间发现并处理威胁流量，做好应急响应处置工作，避免安全事件带来的不良影响。</w:t>
      </w:r>
    </w:p>
    <w:p w14:paraId="1467AB45">
      <w:pPr>
        <w:spacing w:line="360" w:lineRule="auto"/>
        <w:ind w:firstLine="420" w:firstLineChars="200"/>
      </w:pPr>
      <w:r>
        <w:rPr>
          <w:rFonts w:hint="eastAsia"/>
        </w:rPr>
        <w:t>3.重保后总结：对重保期间的工作内容和威胁处置情况进行复盘总结和汇报，为下一步的安全建设和策略制定提供方向和建议。</w:t>
      </w:r>
    </w:p>
    <w:p w14:paraId="06AF4B65">
      <w:pPr>
        <w:spacing w:line="360" w:lineRule="auto"/>
        <w:ind w:firstLine="422" w:firstLineChars="200"/>
      </w:pPr>
      <w:r>
        <w:rPr>
          <w:rFonts w:hint="eastAsia"/>
          <w:b/>
          <w:bCs/>
        </w:rPr>
        <w:t>输出物</w:t>
      </w:r>
      <w:r>
        <w:rPr>
          <w:rFonts w:hint="eastAsia"/>
          <w:b/>
          <w:bCs/>
          <w:lang w:eastAsia="zh-CN"/>
        </w:rPr>
        <w:t>：</w:t>
      </w:r>
      <w:r>
        <w:t>《重保值守日报》《重保值守总结报告》等</w:t>
      </w:r>
      <w:r>
        <w:rPr>
          <w:rFonts w:hint="eastAsia"/>
        </w:rPr>
        <w:t>。</w:t>
      </w:r>
    </w:p>
    <w:p w14:paraId="101D9784">
      <w:pPr>
        <w:spacing w:line="360" w:lineRule="auto"/>
        <w:ind w:firstLine="422" w:firstLineChars="200"/>
        <w:outlineLvl w:val="2"/>
        <w:rPr>
          <w:rFonts w:hint="eastAsia" w:ascii="Times New Roman" w:hAnsi="Times New Roman" w:eastAsia="宋体" w:cs="Times New Roman"/>
          <w:b/>
          <w:bCs/>
          <w:lang w:val="en-US" w:eastAsia="zh-CN"/>
        </w:rPr>
      </w:pPr>
      <w:bookmarkStart w:id="24" w:name="_Toc7122"/>
      <w:r>
        <w:rPr>
          <w:rFonts w:hint="eastAsia" w:ascii="Times New Roman" w:hAnsi="Times New Roman" w:eastAsia="宋体" w:cs="Times New Roman"/>
          <w:b/>
          <w:bCs/>
          <w:lang w:val="en-US" w:eastAsia="zh-CN"/>
        </w:rPr>
        <w:t>（11）应急响应服务</w:t>
      </w:r>
      <w:bookmarkEnd w:id="24"/>
    </w:p>
    <w:p w14:paraId="571181B5">
      <w:pPr>
        <w:spacing w:line="360" w:lineRule="auto"/>
        <w:ind w:firstLine="422" w:firstLineChars="200"/>
      </w:pPr>
      <w:r>
        <w:rPr>
          <w:rFonts w:hint="eastAsia"/>
          <w:b/>
          <w:bCs/>
        </w:rPr>
        <w:t>期限频率</w:t>
      </w:r>
      <w:r>
        <w:rPr>
          <w:rFonts w:hint="eastAsia"/>
          <w:b/>
          <w:bCs/>
          <w:lang w:eastAsia="zh-CN"/>
        </w:rPr>
        <w:t>：</w:t>
      </w:r>
      <w:r>
        <w:rPr>
          <w:rFonts w:hint="eastAsia"/>
        </w:rPr>
        <w:t>按需提供。</w:t>
      </w:r>
    </w:p>
    <w:p w14:paraId="7A514885">
      <w:pPr>
        <w:spacing w:line="360" w:lineRule="auto"/>
        <w:ind w:firstLine="422" w:firstLineChars="200"/>
      </w:pPr>
      <w:r>
        <w:rPr>
          <w:rFonts w:hint="eastAsia"/>
          <w:b/>
          <w:bCs/>
        </w:rPr>
        <w:t>服务范围</w:t>
      </w:r>
      <w:r>
        <w:rPr>
          <w:rFonts w:hint="eastAsia"/>
          <w:b/>
          <w:bCs/>
          <w:lang w:eastAsia="zh-CN"/>
        </w:rPr>
        <w:t>：</w:t>
      </w:r>
      <w:r>
        <w:rPr>
          <w:rFonts w:hint="eastAsia"/>
        </w:rPr>
        <w:t>用户信息系统资产。</w:t>
      </w:r>
    </w:p>
    <w:p w14:paraId="5573CD7F">
      <w:pPr>
        <w:spacing w:line="360" w:lineRule="auto"/>
        <w:ind w:firstLine="422" w:firstLineChars="200"/>
      </w:pPr>
      <w:r>
        <w:rPr>
          <w:rFonts w:hint="eastAsia"/>
          <w:b/>
          <w:bCs/>
        </w:rPr>
        <w:t>服务内容</w:t>
      </w:r>
      <w:r>
        <w:rPr>
          <w:rFonts w:hint="eastAsia"/>
          <w:b/>
          <w:bCs/>
          <w:lang w:eastAsia="zh-CN"/>
        </w:rPr>
        <w:t>：</w:t>
      </w:r>
      <w:r>
        <w:rPr>
          <w:rFonts w:hint="eastAsia"/>
        </w:rPr>
        <w:t>当发生外部黑客入侵、数据泄露、木马病毒等突发安全事件时，提供包括事件检测与分析、风险抑制、问题根除、协助业务恢复的服务，能够协助用户快速止损，最大化降低安全事件带来的影响。</w:t>
      </w:r>
    </w:p>
    <w:p w14:paraId="4EC4D35C">
      <w:pPr>
        <w:spacing w:line="360" w:lineRule="auto"/>
        <w:ind w:firstLine="422" w:firstLineChars="200"/>
      </w:pPr>
      <w:r>
        <w:rPr>
          <w:rFonts w:hint="eastAsia"/>
          <w:b/>
          <w:bCs/>
        </w:rPr>
        <w:t>服务要求</w:t>
      </w:r>
      <w:r>
        <w:rPr>
          <w:rFonts w:hint="eastAsia"/>
          <w:b/>
          <w:bCs/>
          <w:lang w:eastAsia="zh-CN"/>
        </w:rPr>
        <w:t>：</w:t>
      </w:r>
      <w:r>
        <w:rPr>
          <w:rFonts w:hint="eastAsia"/>
        </w:rPr>
        <w:t>7*24小时突发安全事件应急响应，在优先恢复业务运行的前提下，提供安全事件的溯源、分析、处置、加固协助的完整闭环支撑服务。</w:t>
      </w:r>
    </w:p>
    <w:p w14:paraId="0D025FAF">
      <w:pPr>
        <w:spacing w:line="360" w:lineRule="auto"/>
        <w:ind w:firstLine="422" w:firstLineChars="200"/>
      </w:pPr>
      <w:r>
        <w:rPr>
          <w:rFonts w:hint="eastAsia"/>
          <w:b/>
          <w:bCs/>
        </w:rPr>
        <w:t>输出物</w:t>
      </w:r>
      <w:r>
        <w:rPr>
          <w:rFonts w:hint="eastAsia"/>
          <w:b/>
          <w:bCs/>
          <w:lang w:eastAsia="zh-CN"/>
        </w:rPr>
        <w:t>：</w:t>
      </w:r>
      <w:r>
        <w:t>《应急响应报告》</w:t>
      </w:r>
      <w:r>
        <w:rPr>
          <w:rFonts w:hint="eastAsia"/>
        </w:rPr>
        <w:t>。</w:t>
      </w:r>
    </w:p>
    <w:p w14:paraId="0576C0D1">
      <w:pPr>
        <w:spacing w:line="360" w:lineRule="auto"/>
        <w:ind w:firstLine="422" w:firstLineChars="200"/>
        <w:outlineLvl w:val="2"/>
        <w:rPr>
          <w:rFonts w:hint="eastAsia" w:ascii="Times New Roman" w:hAnsi="Times New Roman" w:eastAsia="宋体" w:cs="Times New Roman"/>
          <w:b/>
          <w:bCs/>
          <w:lang w:val="en-US" w:eastAsia="zh-CN"/>
        </w:rPr>
      </w:pPr>
      <w:bookmarkStart w:id="25" w:name="_Toc26748"/>
      <w:r>
        <w:rPr>
          <w:rFonts w:hint="eastAsia" w:ascii="Times New Roman" w:hAnsi="Times New Roman" w:eastAsia="宋体" w:cs="Times New Roman"/>
          <w:b/>
          <w:bCs/>
          <w:lang w:val="en-US" w:eastAsia="zh-CN"/>
        </w:rPr>
        <w:t>（12）安全培训</w:t>
      </w:r>
      <w:bookmarkEnd w:id="25"/>
    </w:p>
    <w:p w14:paraId="139A74C6">
      <w:pPr>
        <w:spacing w:line="360" w:lineRule="auto"/>
        <w:ind w:firstLine="422" w:firstLineChars="200"/>
        <w:rPr>
          <w:rFonts w:hint="eastAsia" w:eastAsia="宋体"/>
          <w:lang w:eastAsia="zh-CN"/>
        </w:rPr>
      </w:pPr>
      <w:r>
        <w:rPr>
          <w:rFonts w:hint="eastAsia"/>
          <w:b/>
          <w:bCs/>
        </w:rPr>
        <w:t>期限频率</w:t>
      </w:r>
      <w:r>
        <w:rPr>
          <w:rFonts w:hint="eastAsia"/>
          <w:b/>
          <w:bCs/>
          <w:lang w:eastAsia="zh-CN"/>
        </w:rPr>
        <w:t>：</w:t>
      </w:r>
      <w:r>
        <w:rPr>
          <w:rFonts w:hint="eastAsia"/>
          <w:lang w:val="en-US" w:eastAsia="zh-CN"/>
        </w:rPr>
        <w:t>1</w:t>
      </w:r>
      <w:r>
        <w:rPr>
          <w:rFonts w:hint="eastAsia"/>
        </w:rPr>
        <w:t>次/年</w:t>
      </w:r>
      <w:r>
        <w:rPr>
          <w:rFonts w:hint="eastAsia"/>
          <w:lang w:eastAsia="zh-CN"/>
        </w:rPr>
        <w:t>。</w:t>
      </w:r>
    </w:p>
    <w:p w14:paraId="6C05C4E3">
      <w:pPr>
        <w:spacing w:line="360" w:lineRule="auto"/>
        <w:ind w:firstLine="422" w:firstLineChars="200"/>
      </w:pPr>
      <w:r>
        <w:rPr>
          <w:rFonts w:hint="eastAsia"/>
          <w:b/>
          <w:bCs/>
        </w:rPr>
        <w:t>服务范围</w:t>
      </w:r>
      <w:r>
        <w:rPr>
          <w:rFonts w:hint="eastAsia"/>
          <w:b/>
          <w:bCs/>
          <w:lang w:eastAsia="zh-CN"/>
        </w:rPr>
        <w:t>：</w:t>
      </w:r>
      <w:r>
        <w:rPr>
          <w:rFonts w:hint="eastAsia"/>
        </w:rPr>
        <w:t>用户指定。</w:t>
      </w:r>
    </w:p>
    <w:p w14:paraId="1AF0AC71">
      <w:pPr>
        <w:spacing w:line="360" w:lineRule="auto"/>
        <w:ind w:firstLine="422" w:firstLineChars="200"/>
      </w:pPr>
      <w:r>
        <w:rPr>
          <w:rFonts w:hint="eastAsia"/>
          <w:b/>
          <w:bCs/>
        </w:rPr>
        <w:t>服务内容</w:t>
      </w:r>
      <w:r>
        <w:rPr>
          <w:rFonts w:hint="eastAsia"/>
          <w:b/>
          <w:bCs/>
          <w:lang w:eastAsia="zh-CN"/>
        </w:rPr>
        <w:t>：</w:t>
      </w:r>
      <w:r>
        <w:rPr>
          <w:rFonts w:hint="eastAsia"/>
        </w:rPr>
        <w:t>根据用户要求对业务人员、安全管理人员、技术人员开展针对性网络与信息安全培训，提高受众个人隐私保护、技术防护、信息安全管理等能力，增强个人网络安全防护意识，规避网络攻击风险。</w:t>
      </w:r>
    </w:p>
    <w:p w14:paraId="4AF4EFA5">
      <w:pPr>
        <w:spacing w:line="360" w:lineRule="auto"/>
        <w:ind w:firstLine="422" w:firstLineChars="200"/>
      </w:pPr>
      <w:r>
        <w:rPr>
          <w:rFonts w:hint="eastAsia"/>
          <w:b/>
          <w:bCs/>
        </w:rPr>
        <w:t>服务要求</w:t>
      </w:r>
      <w:r>
        <w:rPr>
          <w:rFonts w:hint="eastAsia"/>
          <w:b/>
          <w:bCs/>
          <w:lang w:eastAsia="zh-CN"/>
        </w:rPr>
        <w:t>：</w:t>
      </w:r>
      <w:r>
        <w:rPr>
          <w:rFonts w:hint="eastAsia"/>
        </w:rPr>
        <w:t>对安全管理人员的培训，讲解国家相关部门对系统信息安全管理和建设的相关标准，研讨建立具有针对性和适用性的安全管理办法。</w:t>
      </w:r>
    </w:p>
    <w:p w14:paraId="29A33549">
      <w:pPr>
        <w:spacing w:line="360" w:lineRule="auto"/>
        <w:ind w:firstLine="420" w:firstLineChars="200"/>
      </w:pPr>
      <w:r>
        <w:rPr>
          <w:rFonts w:hint="eastAsia"/>
        </w:rPr>
        <w:t>对技术人员的培训，使他们了解信息系统所面临的严峻安全威胁和挑战，以及如何进行全面有效的安全防护措施。</w:t>
      </w:r>
    </w:p>
    <w:p w14:paraId="33DE85E6">
      <w:pPr>
        <w:spacing w:line="360" w:lineRule="auto"/>
        <w:ind w:firstLine="420" w:firstLineChars="200"/>
      </w:pPr>
      <w:r>
        <w:rPr>
          <w:rFonts w:hint="eastAsia"/>
        </w:rPr>
        <w:t>全员培训主要包括：安全意识培训等。</w:t>
      </w:r>
    </w:p>
    <w:p w14:paraId="411D3349">
      <w:pPr>
        <w:spacing w:line="360" w:lineRule="auto"/>
        <w:ind w:firstLine="420" w:firstLineChars="200"/>
      </w:pPr>
      <w:r>
        <w:rPr>
          <w:rFonts w:hint="eastAsia"/>
        </w:rPr>
        <w:t>对普通用户的培训，让大家对信息安全的有初步的认识和逐步提高安全意识，让安全事故可以得到有效的避免。</w:t>
      </w:r>
    </w:p>
    <w:p w14:paraId="79E268D3">
      <w:pPr>
        <w:spacing w:line="360" w:lineRule="auto"/>
        <w:ind w:firstLine="422" w:firstLineChars="200"/>
        <w:rPr>
          <w:rFonts w:hint="eastAsia"/>
        </w:rPr>
      </w:pPr>
      <w:r>
        <w:rPr>
          <w:rFonts w:hint="eastAsia"/>
          <w:b/>
          <w:bCs/>
        </w:rPr>
        <w:t>输出物</w:t>
      </w:r>
      <w:r>
        <w:rPr>
          <w:rFonts w:hint="eastAsia"/>
          <w:b/>
          <w:bCs/>
          <w:lang w:eastAsia="zh-CN"/>
        </w:rPr>
        <w:t>：</w:t>
      </w:r>
      <w:r>
        <w:t>《网络安全培训课件》</w:t>
      </w:r>
      <w:r>
        <w:rPr>
          <w:rFonts w:hint="eastAsia"/>
        </w:rPr>
        <w:t>。</w:t>
      </w:r>
    </w:p>
    <w:p w14:paraId="007B4E6E">
      <w:pPr>
        <w:spacing w:line="360" w:lineRule="auto"/>
        <w:ind w:firstLine="422" w:firstLineChars="200"/>
        <w:outlineLvl w:val="1"/>
        <w:rPr>
          <w:rFonts w:hint="eastAsia" w:ascii="Times New Roman" w:hAnsi="Times New Roman" w:eastAsia="宋体" w:cs="Times New Roman"/>
          <w:b/>
          <w:bCs/>
          <w:lang w:val="en-US" w:eastAsia="zh-CN"/>
        </w:rPr>
      </w:pPr>
      <w:r>
        <w:rPr>
          <w:rFonts w:hint="eastAsia" w:ascii="Times New Roman" w:hAnsi="Times New Roman" w:eastAsia="宋体" w:cs="Times New Roman"/>
          <w:b/>
          <w:bCs/>
          <w:lang w:eastAsia="zh-CN"/>
        </w:rPr>
        <w:t>（</w:t>
      </w:r>
      <w:r>
        <w:rPr>
          <w:rFonts w:hint="eastAsia" w:ascii="Times New Roman" w:hAnsi="Times New Roman" w:eastAsia="宋体" w:cs="Times New Roman"/>
          <w:b/>
          <w:bCs/>
          <w:lang w:val="en-US" w:eastAsia="zh-CN"/>
        </w:rPr>
        <w:t>三</w:t>
      </w:r>
      <w:r>
        <w:rPr>
          <w:rFonts w:hint="eastAsia" w:ascii="Times New Roman" w:hAnsi="Times New Roman" w:eastAsia="宋体" w:cs="Times New Roman"/>
          <w:b/>
          <w:bCs/>
          <w:lang w:eastAsia="zh-CN"/>
        </w:rPr>
        <w:t>）</w:t>
      </w:r>
      <w:r>
        <w:rPr>
          <w:rFonts w:hint="eastAsia" w:ascii="Times New Roman" w:hAnsi="Times New Roman" w:eastAsia="宋体" w:cs="Times New Roman"/>
          <w:b/>
          <w:bCs/>
          <w:lang w:val="en-US" w:eastAsia="zh-CN"/>
        </w:rPr>
        <w:t>数据安全服务</w:t>
      </w:r>
    </w:p>
    <w:p w14:paraId="562477F2">
      <w:pPr>
        <w:spacing w:line="360" w:lineRule="auto"/>
        <w:ind w:firstLine="422" w:firstLineChars="200"/>
        <w:outlineLvl w:val="2"/>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（1）管理制度建设服务</w:t>
      </w:r>
    </w:p>
    <w:p w14:paraId="614AE762">
      <w:pPr>
        <w:spacing w:line="360" w:lineRule="auto"/>
        <w:ind w:firstLine="422" w:firstLineChars="200"/>
        <w:rPr>
          <w:rFonts w:hint="eastAsia" w:ascii="Times New Roman" w:hAnsi="Times New Roman" w:eastAsia="宋体" w:cs="Times New Roman"/>
          <w:lang w:eastAsia="zh-CN"/>
        </w:rPr>
      </w:pPr>
      <w:bookmarkStart w:id="26" w:name="_Toc24500"/>
      <w:r>
        <w:rPr>
          <w:rFonts w:hint="eastAsia" w:ascii="Times New Roman" w:hAnsi="Times New Roman" w:eastAsia="宋体" w:cs="Times New Roman"/>
          <w:b/>
          <w:bCs/>
        </w:rPr>
        <w:t>服务频次</w:t>
      </w:r>
      <w:bookmarkEnd w:id="26"/>
      <w:r>
        <w:rPr>
          <w:rFonts w:hint="eastAsia" w:ascii="Times New Roman" w:hAnsi="Times New Roman" w:eastAsia="宋体" w:cs="Times New Roman"/>
          <w:b/>
          <w:bCs/>
          <w:lang w:eastAsia="zh-CN"/>
        </w:rPr>
        <w:t>：</w:t>
      </w:r>
      <w:r>
        <w:rPr>
          <w:rFonts w:hint="eastAsia" w:ascii="Times New Roman" w:hAnsi="Times New Roman" w:eastAsia="宋体" w:cs="Times New Roman"/>
        </w:rPr>
        <w:t>1次/年</w:t>
      </w:r>
      <w:bookmarkStart w:id="27" w:name="_Toc21775"/>
      <w:r>
        <w:rPr>
          <w:rFonts w:hint="eastAsia" w:ascii="Times New Roman" w:hAnsi="Times New Roman" w:eastAsia="宋体" w:cs="Times New Roman"/>
          <w:lang w:eastAsia="zh-CN"/>
        </w:rPr>
        <w:t>。</w:t>
      </w:r>
    </w:p>
    <w:p w14:paraId="1CA8956B">
      <w:pPr>
        <w:spacing w:line="360" w:lineRule="auto"/>
        <w:ind w:firstLine="422" w:firstLineChars="200"/>
        <w:rPr>
          <w:rFonts w:hint="eastAsia" w:ascii="Times New Roman" w:hAnsi="Times New Roman" w:eastAsia="宋体" w:cs="Times New Roman"/>
        </w:rPr>
      </w:pPr>
      <w:r>
        <w:rPr>
          <w:rFonts w:hint="eastAsia" w:ascii="Times New Roman" w:hAnsi="Times New Roman" w:eastAsia="宋体" w:cs="Times New Roman"/>
          <w:b/>
          <w:bCs/>
        </w:rPr>
        <w:t>服务内容</w:t>
      </w:r>
      <w:bookmarkEnd w:id="27"/>
      <w:r>
        <w:rPr>
          <w:rFonts w:hint="eastAsia" w:ascii="Times New Roman" w:hAnsi="Times New Roman" w:eastAsia="宋体" w:cs="Times New Roman"/>
          <w:b/>
          <w:bCs/>
          <w:lang w:eastAsia="zh-CN"/>
        </w:rPr>
        <w:t>：</w:t>
      </w:r>
      <w:r>
        <w:rPr>
          <w:rFonts w:hint="eastAsia" w:ascii="Times New Roman" w:hAnsi="Times New Roman" w:eastAsia="宋体" w:cs="Times New Roman"/>
        </w:rPr>
        <w:t>配合医院从组织、制度、人员等管理维度，开展调研工作，按实际管理要求定制化输出数据安全相关制度、流程和规范文件，以满足安全管理要求及实质合规要求。制度上满足用户要求。如数据安全、网络安全（包括但不限于信息安全等级保护2.0二级、三级认证的要求，监管单位对应的制度要求）。</w:t>
      </w:r>
    </w:p>
    <w:p w14:paraId="7016B502">
      <w:pPr>
        <w:spacing w:line="360" w:lineRule="auto"/>
        <w:ind w:firstLine="420" w:firstLineChars="200"/>
        <w:rPr>
          <w:rFonts w:hint="eastAsia" w:ascii="Times New Roman" w:hAnsi="Times New Roman" w:eastAsia="宋体" w:cs="Times New Roman"/>
        </w:rPr>
      </w:pPr>
      <w:r>
        <w:rPr>
          <w:rFonts w:hint="eastAsia" w:ascii="Times New Roman" w:hAnsi="Times New Roman" w:eastAsia="宋体" w:cs="Times New Roman"/>
        </w:rPr>
        <w:t>数据安全与网络安全紧密相连，两者互为支撑，共同构成了信息安全的基础。网络安全是数据安全的基础保障，只有确保网络系统的安全性，才能有效防止外部攻击和内部泄露对数据的威胁；数据安全也是网络安全的重要组成部分，通过对数据的严格保护和管理，可以降低网络安全事件的风险和损失。通过管理制度建设服务中，将数据安全与网络安全紧密结合，形成一套完整的安全管理体系。</w:t>
      </w:r>
    </w:p>
    <w:p w14:paraId="1E3E785E">
      <w:pPr>
        <w:spacing w:line="360" w:lineRule="auto"/>
        <w:ind w:firstLine="420" w:firstLineChars="200"/>
      </w:pPr>
      <w:r>
        <w:rPr>
          <w:rFonts w:hint="eastAsia" w:ascii="Times New Roman" w:hAnsi="Times New Roman" w:eastAsia="宋体" w:cs="Times New Roman"/>
        </w:rPr>
        <w:t>通过将制度方针、管理制度与流程规范、实施细则与指南、审批表单与日志四个方面进行分层，建立单位自有制度体系，并通过单位层面整体考虑和设计形成制度体系框架，并构建制度流程。</w:t>
      </w:r>
    </w:p>
    <w:p w14:paraId="6EB94C2D">
      <w:pPr>
        <w:spacing w:line="360" w:lineRule="auto"/>
        <w:ind w:firstLine="420" w:firstLineChars="200"/>
      </w:pPr>
      <w:r>
        <w:rPr>
          <w:rFonts w:hint="eastAsia" w:ascii="Times New Roman" w:hAnsi="Times New Roman" w:eastAsia="宋体" w:cs="Times New Roman"/>
        </w:rPr>
        <w:t>横向参考ISO框架，纵向参考DSMM模型，与现有制度体系进行融合，建立数据安全管理规范；涵盖从风险评估到策略制定、从组织架构优化到流程规范、从技术防护到应急响应的全生命周期管理制度建设。由数据和网络利益相关者和专业人员分别组成领导小组、管理小组、运营小组，实现从审批、监督、治理、制度建设、平台建设等全流程建设服务。并从统筹管理能力、运营能力、技术能力三个方面帮助用户单位，根据不同的分工，培训并建立起与各安全岗位人员适配的安全能力。</w:t>
      </w:r>
    </w:p>
    <w:p w14:paraId="102B93AF">
      <w:pPr>
        <w:spacing w:line="360" w:lineRule="auto"/>
        <w:ind w:firstLine="482" w:firstLineChars="200"/>
        <w:rPr>
          <w:rFonts w:ascii="宋体" w:hAnsi="宋体" w:eastAsia="宋体" w:cs="宋体"/>
          <w:sz w:val="24"/>
        </w:rPr>
      </w:pPr>
      <w:r>
        <w:rPr>
          <w:rFonts w:hint="eastAsia" w:ascii="宋体" w:hAnsi="宋体" w:eastAsia="宋体" w:cs="宋体"/>
          <w:b/>
          <w:bCs/>
          <w:sz w:val="24"/>
        </w:rPr>
        <w:t>服务范围：</w:t>
      </w:r>
      <w:r>
        <w:rPr>
          <w:rFonts w:hint="eastAsia" w:ascii="宋体" w:hAnsi="宋体" w:eastAsia="宋体" w:cs="宋体"/>
          <w:sz w:val="24"/>
        </w:rPr>
        <w:t>数据安全、网络安全【包括但不限于信息安全等级保护2.0三级认证、</w:t>
      </w:r>
      <w:r>
        <w:rPr>
          <w:rFonts w:hint="eastAsia" w:ascii="Times New Roman" w:hAnsi="Times New Roman" w:eastAsia="宋体" w:cs="Times New Roman"/>
        </w:rPr>
        <w:t>监管单位对应的制度</w:t>
      </w:r>
      <w:r>
        <w:rPr>
          <w:rFonts w:hint="eastAsia" w:ascii="宋体" w:hAnsi="宋体" w:eastAsia="宋体" w:cs="宋体"/>
          <w:sz w:val="24"/>
        </w:rPr>
        <w:t>建设</w:t>
      </w:r>
      <w:r>
        <w:rPr>
          <w:rFonts w:hint="eastAsia" w:ascii="宋体" w:hAnsi="宋体" w:cs="宋体"/>
          <w:sz w:val="24"/>
          <w:lang w:val="en-US" w:eastAsia="zh-CN"/>
        </w:rPr>
        <w:t>要求</w:t>
      </w:r>
      <w:r>
        <w:rPr>
          <w:rFonts w:hint="eastAsia" w:ascii="宋体" w:hAnsi="宋体" w:eastAsia="宋体" w:cs="宋体"/>
          <w:sz w:val="24"/>
        </w:rPr>
        <w:t>】</w:t>
      </w:r>
    </w:p>
    <w:p w14:paraId="34638420">
      <w:pPr>
        <w:spacing w:line="360" w:lineRule="auto"/>
        <w:ind w:firstLine="482" w:firstLineChars="200"/>
        <w:rPr>
          <w:rFonts w:ascii="宋体" w:hAnsi="宋体" w:eastAsia="宋体" w:cs="宋体"/>
          <w:sz w:val="24"/>
        </w:rPr>
      </w:pPr>
      <w:r>
        <w:rPr>
          <w:rFonts w:hint="eastAsia" w:ascii="宋体" w:hAnsi="宋体" w:eastAsia="宋体" w:cs="宋体"/>
          <w:b/>
          <w:bCs/>
          <w:sz w:val="24"/>
        </w:rPr>
        <w:t>输出物</w:t>
      </w:r>
      <w:r>
        <w:rPr>
          <w:rFonts w:hint="eastAsia" w:ascii="宋体" w:hAnsi="宋体" w:eastAsia="宋体" w:cs="宋体"/>
          <w:b/>
          <w:bCs/>
          <w:sz w:val="24"/>
          <w:lang w:eastAsia="zh-CN"/>
        </w:rPr>
        <w:t>：</w:t>
      </w:r>
      <w:r>
        <w:rPr>
          <w:rFonts w:hint="eastAsia" w:ascii="宋体" w:hAnsi="宋体" w:eastAsia="宋体" w:cs="宋体"/>
          <w:sz w:val="24"/>
        </w:rPr>
        <w:t>包括但不限于如下:</w:t>
      </w:r>
    </w:p>
    <w:p w14:paraId="7122E3B5">
      <w:pPr>
        <w:pStyle w:val="28"/>
        <w:numPr>
          <w:ilvl w:val="0"/>
          <w:numId w:val="3"/>
        </w:numPr>
        <w:spacing w:line="360" w:lineRule="auto"/>
        <w:ind w:firstLineChars="0"/>
        <w:rPr>
          <w:rFonts w:ascii="宋体" w:hAnsi="宋体" w:eastAsia="宋体" w:cs="宋体"/>
        </w:rPr>
      </w:pPr>
      <w:r>
        <w:rPr>
          <w:rFonts w:hint="eastAsia" w:ascii="宋体" w:hAnsi="宋体" w:eastAsia="宋体" w:cs="宋体"/>
        </w:rPr>
        <w:t>《网络数据安全制度管理映射清单》</w:t>
      </w:r>
    </w:p>
    <w:p w14:paraId="158E5AD4">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《数据安全管理办法》</w:t>
      </w:r>
    </w:p>
    <w:p w14:paraId="20DDCE58">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《数据安全领导小组发文》</w:t>
      </w:r>
    </w:p>
    <w:p w14:paraId="58010EE3">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《数据安全工作方案》</w:t>
      </w:r>
    </w:p>
    <w:p w14:paraId="160118A5">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《数据安全应急响应制度》</w:t>
      </w:r>
    </w:p>
    <w:p w14:paraId="7993C5CC">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《数据合作方管理制度》</w:t>
      </w:r>
    </w:p>
    <w:p w14:paraId="2393465F">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《数据生命周期安全管理制度》</w:t>
      </w:r>
    </w:p>
    <w:p w14:paraId="6EF39BC3">
      <w:pPr>
        <w:pStyle w:val="28"/>
        <w:numPr>
          <w:ilvl w:val="0"/>
          <w:numId w:val="3"/>
        </w:numPr>
        <w:spacing w:line="360" w:lineRule="auto"/>
        <w:ind w:firstLineChars="0"/>
        <w:rPr>
          <w:rFonts w:ascii="宋体" w:hAnsi="宋体" w:eastAsia="宋体" w:cs="宋体"/>
        </w:rPr>
      </w:pPr>
      <w:r>
        <w:rPr>
          <w:rFonts w:hint="eastAsia" w:ascii="宋体" w:hAnsi="宋体" w:eastAsia="宋体" w:cs="宋体"/>
        </w:rPr>
        <w:t>《存储介质安全管理规范》</w:t>
      </w:r>
    </w:p>
    <w:p w14:paraId="5CDE0570">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《数据安全分类分级管理制度》</w:t>
      </w:r>
    </w:p>
    <w:p w14:paraId="4DBDCCED">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《数据资产管理制度》</w:t>
      </w:r>
    </w:p>
    <w:p w14:paraId="0E9B9D61">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《数据安全人员管理制度》</w:t>
      </w:r>
    </w:p>
    <w:p w14:paraId="32C5155B">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《数据公开管理制度》</w:t>
      </w:r>
    </w:p>
    <w:p w14:paraId="04A1910D">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《数据安全与新应用开发评估制度》</w:t>
      </w:r>
    </w:p>
    <w:p w14:paraId="06AB68BC">
      <w:pPr>
        <w:pStyle w:val="28"/>
        <w:numPr>
          <w:ilvl w:val="0"/>
          <w:numId w:val="3"/>
        </w:numPr>
        <w:spacing w:line="360" w:lineRule="auto"/>
        <w:ind w:firstLineChars="0"/>
        <w:rPr>
          <w:rFonts w:ascii="宋体" w:hAnsi="宋体" w:eastAsia="宋体" w:cs="宋体"/>
        </w:rPr>
      </w:pPr>
      <w:r>
        <w:rPr>
          <w:rFonts w:hint="eastAsia" w:ascii="宋体" w:hAnsi="宋体" w:eastAsia="宋体" w:cs="宋体"/>
        </w:rPr>
        <w:t>《个人信息保护内部管理制度和操作规程》</w:t>
      </w:r>
    </w:p>
    <w:p w14:paraId="28F04821">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《数据安全领导小组发文》</w:t>
      </w:r>
    </w:p>
    <w:p w14:paraId="628ED58E">
      <w:pPr>
        <w:pStyle w:val="28"/>
        <w:numPr>
          <w:ilvl w:val="0"/>
          <w:numId w:val="3"/>
        </w:numPr>
        <w:spacing w:line="360" w:lineRule="auto"/>
        <w:ind w:firstLineChars="0"/>
        <w:rPr>
          <w:rFonts w:ascii="宋体" w:hAnsi="宋体" w:eastAsia="宋体" w:cs="宋体"/>
        </w:rPr>
      </w:pPr>
      <w:r>
        <w:rPr>
          <w:rFonts w:hint="eastAsia" w:ascii="宋体" w:hAnsi="宋体" w:eastAsia="宋体" w:cs="宋体"/>
        </w:rPr>
        <w:t>《大数据平台安全管理制度》</w:t>
      </w:r>
    </w:p>
    <w:p w14:paraId="4D5A8B43">
      <w:pPr>
        <w:pStyle w:val="28"/>
        <w:numPr>
          <w:ilvl w:val="0"/>
          <w:numId w:val="3"/>
        </w:numPr>
        <w:spacing w:line="360" w:lineRule="auto"/>
        <w:ind w:firstLineChars="0"/>
        <w:rPr>
          <w:rFonts w:ascii="宋体" w:hAnsi="宋体" w:eastAsia="宋体" w:cs="宋体"/>
        </w:rPr>
      </w:pPr>
      <w:r>
        <w:rPr>
          <w:rFonts w:hint="eastAsia" w:ascii="宋体" w:hAnsi="宋体" w:eastAsia="宋体" w:cs="宋体"/>
        </w:rPr>
        <w:t>《云数据安全责任说明书》</w:t>
      </w:r>
    </w:p>
    <w:p w14:paraId="5E1C08EA">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《数据公开安全操作规程》</w:t>
      </w:r>
    </w:p>
    <w:p w14:paraId="499824A0">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《数据提供安全策略与操作规程》</w:t>
      </w:r>
    </w:p>
    <w:p w14:paraId="181EEAAD">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《数据脱敏管理制度》</w:t>
      </w:r>
    </w:p>
    <w:p w14:paraId="125AA214">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《数据加密防泄漏管理制度》</w:t>
      </w:r>
    </w:p>
    <w:p w14:paraId="6E0FF92C">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《数据安全审计与日志管理制度》</w:t>
      </w:r>
    </w:p>
    <w:p w14:paraId="340863B4">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《数据导入导出管理规范》</w:t>
      </w:r>
    </w:p>
    <w:p w14:paraId="0D8D0A06">
      <w:pPr>
        <w:pStyle w:val="28"/>
        <w:numPr>
          <w:ilvl w:val="0"/>
          <w:numId w:val="3"/>
        </w:numPr>
        <w:spacing w:line="360" w:lineRule="auto"/>
        <w:ind w:firstLineChars="0"/>
        <w:rPr>
          <w:rFonts w:ascii="宋体" w:hAnsi="宋体" w:eastAsia="宋体" w:cs="宋体"/>
        </w:rPr>
      </w:pPr>
      <w:r>
        <w:rPr>
          <w:rFonts w:hint="eastAsia" w:ascii="宋体" w:hAnsi="宋体" w:eastAsia="宋体" w:cs="宋体"/>
        </w:rPr>
        <w:t>《数据安全评估管理制度》</w:t>
      </w:r>
    </w:p>
    <w:p w14:paraId="1078D0FF">
      <w:pPr>
        <w:pStyle w:val="28"/>
        <w:numPr>
          <w:ilvl w:val="0"/>
          <w:numId w:val="3"/>
        </w:numPr>
        <w:spacing w:line="360" w:lineRule="auto"/>
        <w:ind w:firstLineChars="0"/>
        <w:rPr>
          <w:rFonts w:ascii="宋体" w:hAnsi="宋体" w:eastAsia="宋体" w:cs="宋体"/>
        </w:rPr>
      </w:pPr>
      <w:r>
        <w:rPr>
          <w:rFonts w:hint="eastAsia" w:ascii="宋体" w:hAnsi="宋体" w:eastAsia="宋体" w:cs="宋体"/>
        </w:rPr>
        <w:t>《网络安全管理办法》</w:t>
      </w:r>
    </w:p>
    <w:p w14:paraId="15407914">
      <w:pPr>
        <w:pStyle w:val="28"/>
        <w:numPr>
          <w:ilvl w:val="0"/>
          <w:numId w:val="3"/>
        </w:numPr>
        <w:spacing w:line="360" w:lineRule="auto"/>
        <w:ind w:firstLineChars="0"/>
        <w:rPr>
          <w:rFonts w:ascii="宋体" w:hAnsi="宋体" w:eastAsia="宋体" w:cs="宋体"/>
        </w:rPr>
      </w:pPr>
      <w:r>
        <w:rPr>
          <w:rFonts w:hint="eastAsia" w:ascii="宋体" w:hAnsi="宋体" w:eastAsia="宋体" w:cs="宋体"/>
        </w:rPr>
        <w:t>《网络安全领导小组发文》</w:t>
      </w:r>
    </w:p>
    <w:p w14:paraId="0E444233">
      <w:pPr>
        <w:pStyle w:val="28"/>
        <w:numPr>
          <w:ilvl w:val="0"/>
          <w:numId w:val="3"/>
        </w:numPr>
        <w:spacing w:line="360" w:lineRule="auto"/>
        <w:ind w:firstLineChars="0"/>
        <w:rPr>
          <w:rFonts w:ascii="宋体" w:hAnsi="宋体" w:eastAsia="宋体" w:cs="宋体"/>
        </w:rPr>
      </w:pPr>
      <w:r>
        <w:rPr>
          <w:rFonts w:hint="eastAsia" w:ascii="宋体" w:hAnsi="宋体" w:eastAsia="宋体" w:cs="宋体"/>
        </w:rPr>
        <w:t>《网络安全工作方案》</w:t>
      </w:r>
    </w:p>
    <w:p w14:paraId="4E89848D">
      <w:pPr>
        <w:pStyle w:val="28"/>
        <w:numPr>
          <w:ilvl w:val="0"/>
          <w:numId w:val="3"/>
        </w:numPr>
        <w:spacing w:line="360" w:lineRule="auto"/>
        <w:ind w:firstLineChars="0"/>
      </w:pPr>
      <w:r>
        <w:rPr>
          <w:rFonts w:hint="eastAsia" w:ascii="宋体" w:hAnsi="宋体" w:eastAsia="宋体" w:cs="宋体"/>
        </w:rPr>
        <w:t>《网络安全应急响应制度》</w:t>
      </w:r>
    </w:p>
    <w:p w14:paraId="528C2A0C">
      <w:pPr>
        <w:spacing w:line="360" w:lineRule="auto"/>
        <w:ind w:firstLine="422" w:firstLineChars="200"/>
        <w:outlineLvl w:val="2"/>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（2）数据安全巡检服务</w:t>
      </w:r>
    </w:p>
    <w:p w14:paraId="75793F97">
      <w:pPr>
        <w:spacing w:line="360" w:lineRule="auto"/>
        <w:ind w:firstLine="422" w:firstLineChars="200"/>
        <w:rPr>
          <w:rFonts w:hint="eastAsia" w:ascii="Times New Roman" w:hAnsi="Times New Roman" w:eastAsia="宋体" w:cs="Times New Roman"/>
          <w:b w:val="0"/>
          <w:bCs w:val="0"/>
          <w:lang w:val="en-US" w:eastAsia="zh-CN"/>
        </w:rPr>
      </w:pPr>
      <w:r>
        <w:rPr>
          <w:rFonts w:hint="eastAsia" w:ascii="Times New Roman" w:hAnsi="Times New Roman" w:eastAsia="宋体" w:cs="Times New Roman"/>
          <w:b/>
          <w:bCs/>
        </w:rPr>
        <w:t>服务频次</w:t>
      </w:r>
      <w:r>
        <w:rPr>
          <w:rFonts w:hint="eastAsia" w:ascii="Times New Roman" w:hAnsi="Times New Roman" w:eastAsia="宋体" w:cs="Times New Roman"/>
          <w:b/>
          <w:bCs/>
          <w:lang w:eastAsia="zh-CN"/>
        </w:rPr>
        <w:t>：</w:t>
      </w:r>
      <w:r>
        <w:rPr>
          <w:rFonts w:hint="eastAsia" w:ascii="Times New Roman" w:hAnsi="Times New Roman" w:eastAsia="宋体" w:cs="Times New Roman"/>
          <w:lang w:val="en-US" w:eastAsia="zh-CN"/>
        </w:rPr>
        <w:t>4</w:t>
      </w:r>
      <w:r>
        <w:rPr>
          <w:rFonts w:hint="eastAsia" w:ascii="Times New Roman" w:hAnsi="Times New Roman" w:eastAsia="宋体" w:cs="Times New Roman"/>
        </w:rPr>
        <w:t>次/年</w:t>
      </w:r>
      <w:r>
        <w:rPr>
          <w:rFonts w:hint="eastAsia" w:ascii="Times New Roman" w:hAnsi="Times New Roman" w:eastAsia="宋体" w:cs="Times New Roman"/>
          <w:lang w:eastAsia="zh-CN"/>
        </w:rPr>
        <w:t>。</w:t>
      </w:r>
    </w:p>
    <w:p w14:paraId="73341B09">
      <w:pPr>
        <w:spacing w:line="360" w:lineRule="auto"/>
        <w:ind w:firstLine="422" w:firstLineChars="200"/>
        <w:rPr>
          <w:rFonts w:hint="eastAsia" w:ascii="Times New Roman" w:hAnsi="Times New Roman" w:eastAsia="宋体" w:cs="Times New Roman"/>
          <w:lang w:val="en-US" w:eastAsia="zh-CN"/>
        </w:rPr>
      </w:pPr>
      <w:r>
        <w:rPr>
          <w:rFonts w:hint="eastAsia" w:ascii="Times New Roman" w:hAnsi="Times New Roman" w:eastAsia="宋体" w:cs="Times New Roman"/>
          <w:b/>
          <w:bCs/>
          <w:lang w:val="en-US" w:eastAsia="zh-CN"/>
        </w:rPr>
        <w:t>服务内容：</w:t>
      </w:r>
      <w:r>
        <w:rPr>
          <w:rFonts w:hint="eastAsia" w:ascii="Times New Roman" w:hAnsi="Times New Roman" w:eastAsia="宋体" w:cs="Times New Roman"/>
          <w:lang w:val="en-US" w:eastAsia="zh-CN"/>
        </w:rPr>
        <w:t>日常运维和安全加固</w:t>
      </w:r>
    </w:p>
    <w:p w14:paraId="116F3354">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设备巡检：定期对数据安全设备、数据库服务器、进行安全巡检，包括设备硬件状态巡检、性能巡检、日志和备份检查、规则库、授权等基础信息巡检。</w:t>
      </w:r>
    </w:p>
    <w:p w14:paraId="0D9EB75F">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补丁升级：为提高数据库的稳定性，规避风险，定期分析业务系统数据库隐患，结合客户的业务需求的具体情况，提出补丁预警方案，并制定完善的升级计划，对任何可能存在的风险进行规避，同时可借助其他工具进行虚拟补丁升级。</w:t>
      </w:r>
    </w:p>
    <w:p w14:paraId="2489640E">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策略优化:根据数据全生命周期各项管理要求，制定通用安全策略，并结合各业务场景安全需求，制定针对性的安全策略。其中基于安全基线评估及日常业务流程过程中，对前期制定的安全策略进行优化调整，对访问控制进行优化增强访问控制杜绝越权访问带来的威胁，对行为审计进行优化实现全面审计无“死角”实现安全策略优化效果，最终通过通用策略和针对性策略结合部署，最终实现对数据流转过程的安全防护。</w:t>
      </w:r>
    </w:p>
    <w:p w14:paraId="3FEF6142">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数据安全设备统一纳管</w:t>
      </w:r>
    </w:p>
    <w:p w14:paraId="71FB0AB3">
      <w:pPr>
        <w:spacing w:line="360" w:lineRule="auto"/>
        <w:ind w:firstLine="420" w:firstLineChars="200"/>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由于在数据安全生命周期内，各种数据安全设备种类繁多、异构性强，导致安全管理工作面临巨大挑战。本服务旨在通过梳理安全设备、纳管各安全设备，实现统一日志收集、分析、安全策略统一运营、数据安全态势展示、风险事件处置、知识库维护等。</w:t>
      </w:r>
    </w:p>
    <w:p w14:paraId="027A5ACE">
      <w:pPr>
        <w:spacing w:line="360" w:lineRule="auto"/>
        <w:ind w:firstLine="422" w:firstLineChars="200"/>
        <w:rPr>
          <w:rFonts w:hint="eastAsia" w:ascii="Times New Roman" w:hAnsi="Times New Roman" w:eastAsia="宋体" w:cs="Times New Roman"/>
          <w:lang w:val="en-US" w:eastAsia="zh-CN"/>
        </w:rPr>
      </w:pPr>
      <w:r>
        <w:rPr>
          <w:rFonts w:hint="eastAsia" w:ascii="Times New Roman" w:hAnsi="Times New Roman" w:eastAsia="宋体" w:cs="Times New Roman"/>
          <w:b/>
          <w:bCs/>
          <w:lang w:val="en-US" w:eastAsia="zh-CN"/>
        </w:rPr>
        <w:t>输出物：</w:t>
      </w:r>
      <w:r>
        <w:rPr>
          <w:rFonts w:hint="eastAsia" w:ascii="Times New Roman" w:hAnsi="Times New Roman" w:eastAsia="宋体" w:cs="Times New Roman"/>
          <w:lang w:val="en-US" w:eastAsia="zh-CN"/>
        </w:rPr>
        <w:t>《管控中心巡检报告》、《数据安全风险事件统一处置报告》</w:t>
      </w:r>
    </w:p>
    <w:p w14:paraId="57ED19F6">
      <w:pPr>
        <w:spacing w:line="360" w:lineRule="auto"/>
        <w:ind w:firstLine="422" w:firstLineChars="200"/>
        <w:outlineLvl w:val="2"/>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（3）数据安全自检服务</w:t>
      </w:r>
    </w:p>
    <w:p w14:paraId="39929442">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 w:val="0"/>
          <w:bCs w:val="0"/>
          <w:lang w:val="en-US" w:eastAsia="zh-CN"/>
        </w:rPr>
      </w:pPr>
      <w:r>
        <w:rPr>
          <w:rFonts w:hint="eastAsia" w:ascii="宋体" w:hAnsi="宋体" w:eastAsia="宋体" w:cs="宋体"/>
          <w:b/>
          <w:bCs/>
          <w:lang w:val="en-US" w:eastAsia="zh-CN"/>
        </w:rPr>
        <w:t>服务频次：</w:t>
      </w:r>
      <w:r>
        <w:rPr>
          <w:rFonts w:hint="eastAsia" w:ascii="宋体" w:hAnsi="宋体" w:eastAsia="宋体" w:cs="宋体"/>
          <w:b w:val="0"/>
          <w:bCs w:val="0"/>
          <w:lang w:val="en-US" w:eastAsia="zh-CN"/>
        </w:rPr>
        <w:t>1次/年</w:t>
      </w:r>
    </w:p>
    <w:p w14:paraId="21C207D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服务内容：</w:t>
      </w:r>
      <w:r>
        <w:rPr>
          <w:rFonts w:hint="eastAsia" w:ascii="宋体" w:hAnsi="宋体" w:eastAsia="宋体" w:cs="宋体"/>
          <w:b w:val="0"/>
          <w:bCs w:val="0"/>
          <w:lang w:val="en-US" w:eastAsia="zh-CN"/>
        </w:rPr>
        <w:t>通过数据检查工具箱为企业提供一套全面、高效的数据安全自我检测与评估工具，帮助企业快速识别、评估并管理数据安全风险。通过综合运用数据资产全面测绘、敏感数据识别与保护、配置信息采集与核查、网络流量检测与弱口令扫描、网络脆弱性扫描与数据安全评估等功能。实现数据安全问题自我闭环。</w:t>
      </w:r>
    </w:p>
    <w:p w14:paraId="4B7367A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服务要求：</w:t>
      </w:r>
      <w:r>
        <w:rPr>
          <w:rFonts w:hint="eastAsia" w:ascii="宋体" w:hAnsi="宋体" w:eastAsia="宋体" w:cs="宋体"/>
          <w:b w:val="0"/>
          <w:bCs w:val="0"/>
          <w:lang w:val="en-US" w:eastAsia="zh-CN"/>
        </w:rPr>
        <w:t>数据资产全面测绘：快速发现存活主机、网络设备、数据库，并准确识别其属性。支持可视化地图展现，从不同维度直观展示数据库数据信息、敏感数据信息。为企业提供全面的数据资产清单，为后续的安全评估与防护提供基础。</w:t>
      </w:r>
    </w:p>
    <w:p w14:paraId="63939E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敏感数据识别与保护：深度发现隐藏于数据库、文本、图片中的敏感信息，并统计敏感数据量。采用抽样扫描匹配加人工核实校正的方式，形成敏感数据分布清单。建立负面清单敏感词库，提高敏感数据的识别精度与保护效率。</w:t>
      </w:r>
    </w:p>
    <w:p w14:paraId="002231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配置信息采集与核查：检查数据库、操作系统、应用程序、网络设备的配置项。获得合规和不合规项信息，以及高危、中危和低危的配置项信息。为企业提供详细的配置信息报告，帮助发现潜在的安全隐患。</w:t>
      </w:r>
    </w:p>
    <w:p w14:paraId="370370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网络流量检测与弱口令扫描：实时检测网络中的恶意攻击、违规行为、非法设备接入以及蠕虫、病毒等恶意软件的传播。支持检测系统、数据库、应用程序等中的弱口令。通过识别和修复弱口令，加固数据安全防线，提高系统的整体安全性。</w:t>
      </w:r>
    </w:p>
    <w:p w14:paraId="28149B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网络脆弱性扫描与数据安全评估：对数据库、操作系统、应用软件、虚拟化平台、工业控制系统等网络资产进行漏洞扫描。及时发现漏洞并采取相应的防御措施，降低系统被攻击的风险。提供数据安全评估功能，帮助企业全面了解数据资产，识别敏感数据，确保数据处理符合法规和政策。</w:t>
      </w:r>
    </w:p>
    <w:p w14:paraId="690039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风险识别与管理：通过全面测绘数据资产、识别敏感数据、检测数据库漏洞、监测网络流量等功能，帮助企业发现潜在的安全风险。提供风险分析报告，指导企业及时采取措施，降低数据泄露和攻击的风险。</w:t>
      </w:r>
    </w:p>
    <w:p w14:paraId="5F687D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快速响应与整改：一旦发现数据安全问题，为企业提供详细的修复建议。助力企业迅速采取行动，缩短漏洞暴露时间，降低潜在损失。提供持续的跟进与技术支持，确保整改措施的有效实施。</w:t>
      </w:r>
    </w:p>
    <w:p w14:paraId="156F0913">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宋体" w:hAnsi="宋体" w:eastAsia="宋体" w:cs="宋体"/>
          <w:b w:val="0"/>
          <w:bCs w:val="0"/>
          <w:lang w:val="en-US" w:eastAsia="zh-CN"/>
        </w:rPr>
      </w:pPr>
      <w:r>
        <w:rPr>
          <w:rFonts w:hint="eastAsia" w:ascii="宋体" w:hAnsi="宋体" w:eastAsia="宋体" w:cs="宋体"/>
          <w:b/>
          <w:bCs/>
          <w:lang w:val="en-US" w:eastAsia="zh-CN"/>
        </w:rPr>
        <w:t>输出物：</w:t>
      </w:r>
      <w:r>
        <w:rPr>
          <w:rFonts w:hint="eastAsia" w:ascii="宋体" w:hAnsi="宋体" w:eastAsia="宋体" w:cs="宋体"/>
          <w:b w:val="0"/>
          <w:bCs w:val="0"/>
          <w:lang w:val="en-US" w:eastAsia="zh-CN"/>
        </w:rPr>
        <w:t>《数据安全检查报告》</w:t>
      </w:r>
    </w:p>
    <w:p w14:paraId="7EF80C4B">
      <w:pPr>
        <w:spacing w:line="360" w:lineRule="auto"/>
        <w:ind w:firstLine="422" w:firstLineChars="200"/>
        <w:outlineLvl w:val="2"/>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（4）测评审查支撑(迎检)服务</w:t>
      </w:r>
    </w:p>
    <w:p w14:paraId="0D65D11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服务频次：</w:t>
      </w:r>
      <w:r>
        <w:rPr>
          <w:rFonts w:hint="eastAsia" w:ascii="宋体" w:hAnsi="宋体" w:eastAsia="宋体" w:cs="宋体"/>
          <w:b w:val="0"/>
          <w:bCs w:val="0"/>
          <w:lang w:val="en-US" w:eastAsia="zh-CN"/>
        </w:rPr>
        <w:t>1次/年</w:t>
      </w:r>
    </w:p>
    <w:p w14:paraId="2B21BD98">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服务内容：</w:t>
      </w:r>
      <w:r>
        <w:rPr>
          <w:rFonts w:hint="eastAsia" w:ascii="宋体" w:hAnsi="宋体" w:eastAsia="宋体" w:cs="宋体"/>
          <w:b w:val="0"/>
          <w:bCs w:val="0"/>
          <w:lang w:val="en-US" w:eastAsia="zh-CN"/>
        </w:rPr>
        <w:t>在客户单位迎接上级对其数据安全的通过性审查时，为客户提供全面测评的技术支撑，将测评对应项进行罗列整理并提供相应的解决方案，协助客户通过数据安全审查，并确保测评分数处于高位水平。</w:t>
      </w:r>
    </w:p>
    <w:p w14:paraId="6493A7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同时，我们将协助客户准备审查所需的文档资料，包括但不限于数据安全管理政策、操作流程、技术防护措施等，确保所有材料齐全、规范，符合审查要求。此外，我们还将提供模拟审查服务，通过模拟上级审查流程，帮助客户提前发现并整改潜在的问题，进一步提升迎检准备工作的针对性和实效性。</w:t>
      </w:r>
    </w:p>
    <w:p w14:paraId="2D1BA5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（一）测评对应项罗列与解决方案提供 </w:t>
      </w:r>
    </w:p>
    <w:p w14:paraId="7C731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1. 全面梳理测评项 </w:t>
      </w:r>
    </w:p>
    <w:p w14:paraId="337017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组织专业的数据安全团队，依据上级审查的标准和要求，对医院数据安全涉及的各个方面进行全面梳理。涵盖数据的收集、存储、传输、使用、共享和销毁等全生命周期环节，以及数据安全管理体系、技术防护措施、人员安全意识等多个维度。 </w:t>
      </w:r>
    </w:p>
    <w:p w14:paraId="7D43A9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2. 深入分析与风险评估 </w:t>
      </w:r>
    </w:p>
    <w:p w14:paraId="6F294F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对梳理出的测评项进行深入分析，结合医院的实际业务情况和数据安全现状，评估每个测评项可能存在的风险和问题。采用先进的评估工具和方法，如漏洞扫描、渗透测试等，全面检测医院信息系统的安全性。 </w:t>
      </w:r>
    </w:p>
    <w:p w14:paraId="387601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3. 定制化解决方案 </w:t>
      </w:r>
    </w:p>
    <w:p w14:paraId="124AE3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针对每个测评项的风险和问题，制定个性化的解决方案。对于技术层面的问题，如系统漏洞、数据加密不足等，提供专业的技术修复建议和实施计划；对于管理层面的问题，如制度不完善、人员操作不规范等，协助医院完善相关管理制度和操作流程。 </w:t>
      </w:r>
    </w:p>
    <w:p w14:paraId="44A21D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（二）审查文档资料协助准备 </w:t>
      </w:r>
    </w:p>
    <w:p w14:paraId="3CB6F3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1. 资料清单制定 </w:t>
      </w:r>
    </w:p>
    <w:p w14:paraId="109768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根据上级审查的要求，结合医院的实际情况，制定详细的审查文档资料清单。清单包括但不限于数据安全管理政策、操作流程、技术防护措施、应急响应预案、人员培训记录等。 </w:t>
      </w:r>
    </w:p>
    <w:p w14:paraId="20CA87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2. 资料编写与完善 </w:t>
      </w:r>
    </w:p>
    <w:p w14:paraId="5155542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协助医院编写和完善审查所需的文档资料。对于已有的文档，进行审核和修订，确保内容完整、规范、符合审查要求；对于缺失的文档，根据医院的实际情况和相关标准要求进行编写。 </w:t>
      </w:r>
    </w:p>
    <w:p w14:paraId="04A71D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3. 资料审核与优化 </w:t>
      </w:r>
    </w:p>
    <w:p w14:paraId="79EB16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对编写和完善后的文档资料进行审核，确保所有资料的准确性、一致性和合规性。同时，根据审核结果对资料进行优化，提高资料的质量和可读性。 </w:t>
      </w:r>
    </w:p>
    <w:p w14:paraId="3CA8B3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（三）模拟审查服务 </w:t>
      </w:r>
    </w:p>
    <w:p w14:paraId="37717D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1. 模拟审查流程设计 </w:t>
      </w:r>
    </w:p>
    <w:p w14:paraId="230283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参照上级审查的实际流程和标准，设计详细的模拟审查流程。模拟审查流程包括审查准备、现场检查、文档审核、问题反馈等环节，确保模拟审查的真实性和有效性。 </w:t>
      </w:r>
    </w:p>
    <w:p w14:paraId="1DC63E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2. 模拟审查实施 </w:t>
      </w:r>
    </w:p>
    <w:p w14:paraId="3AC419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按照设计好的模拟审查流程，组织专业的审查团队对医院进行模拟审查。审查团队由具有丰富数据安全审查经验的专家组成，采用多种审查方法，如文件审查、现场访谈、系统测试等，全面检查医院的数据安全状况。 </w:t>
      </w:r>
    </w:p>
    <w:p w14:paraId="02C80C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3. 问题整改与跟踪 </w:t>
      </w:r>
    </w:p>
    <w:p w14:paraId="4CC77A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模拟审查结束后，及时向医院反馈审查结果，列出发现的问题和潜在风险。协助医院制定问题整改计划，明确整改责任人和整改期限。对整改情况进行跟踪和监督，确保问题得到及时、有效的解决。</w:t>
      </w:r>
    </w:p>
    <w:p w14:paraId="3B35B0A0">
      <w:pPr>
        <w:spacing w:line="360" w:lineRule="auto"/>
        <w:ind w:firstLine="422" w:firstLineChars="200"/>
        <w:outlineLvl w:val="2"/>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（5）数据安全培训</w:t>
      </w:r>
    </w:p>
    <w:p w14:paraId="5A1B081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服务频次：</w:t>
      </w:r>
      <w:r>
        <w:rPr>
          <w:rFonts w:hint="eastAsia" w:ascii="宋体" w:hAnsi="宋体" w:eastAsia="宋体" w:cs="宋体"/>
          <w:b w:val="0"/>
          <w:bCs w:val="0"/>
          <w:lang w:val="en-US" w:eastAsia="zh-CN"/>
        </w:rPr>
        <w:t>1次/年。</w:t>
      </w:r>
    </w:p>
    <w:p w14:paraId="71D74850">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val="0"/>
          <w:bCs w:val="0"/>
          <w:lang w:val="en-US" w:eastAsia="zh-CN"/>
        </w:rPr>
      </w:pPr>
      <w:r>
        <w:rPr>
          <w:rFonts w:hint="eastAsia" w:ascii="宋体" w:hAnsi="宋体" w:eastAsia="宋体" w:cs="宋体"/>
          <w:b/>
          <w:bCs/>
          <w:lang w:val="en-US" w:eastAsia="zh-CN"/>
        </w:rPr>
        <w:t>服务内容：</w:t>
      </w:r>
      <w:r>
        <w:rPr>
          <w:rFonts w:hint="eastAsia" w:ascii="宋体" w:hAnsi="宋体" w:eastAsia="宋体" w:cs="宋体"/>
          <w:b w:val="0"/>
          <w:bCs w:val="0"/>
          <w:lang w:val="en-US" w:eastAsia="zh-CN"/>
        </w:rPr>
        <w:t>数据安全与网络安全紧密相连，两者互为支撑，共同构成了信息安全的基础。通过分层培训体系，对管理人员、技术人员和全体员工开展数据安全与网络安全培训，提升单位信息安全防护能力，保障信息安全合规。</w:t>
      </w:r>
    </w:p>
    <w:p w14:paraId="1D42F7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针对本次项目投标产品及服务，提供原厂培训，培训讲师深耕数据安全领域，提供更加深层次且全面的数据安全培训。</w:t>
      </w:r>
    </w:p>
    <w:p w14:paraId="6323A5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根据数据安全产品和运行维护进行针对性的培训。全面提升单位相关管理人员及技术人员对数据安全的认识与理解，掌握数据分类、敏感信息识别、数据安全法律法规、数据加密技术、数据备份与恢复以及数据安全管理制度等关键知识点。通过系统的培训，增强单位的数据安全防护能力，确保数据资产的安全与合规。</w:t>
      </w:r>
    </w:p>
    <w:p w14:paraId="3BE010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通过线上课程、线下讲座等多种方式，全面提升相关管理人员及技术人员对数据安全的认识与理解，掌握数据分类、敏感信息识别、数据安全法律法规、数据加密技术、数据备份与恢复以及数据安全管理制度等关键知识点。通过系统的培训，增强院内的数据安全防护能力，确保数据资产的安全与合规。</w:t>
      </w:r>
    </w:p>
    <w:p w14:paraId="23E6EB27">
      <w:pPr>
        <w:spacing w:line="360" w:lineRule="auto"/>
        <w:outlineLvl w:val="0"/>
        <w:rPr>
          <w:rFonts w:hint="eastAsia" w:ascii="宋体" w:hAnsi="宋体" w:eastAsia="宋体" w:cs="宋体"/>
          <w:b/>
          <w:color w:val="000000"/>
          <w:sz w:val="24"/>
          <w:szCs w:val="24"/>
          <w:lang w:val="en-US" w:eastAsia="zh-CN"/>
        </w:rPr>
      </w:pPr>
      <w:r>
        <w:rPr>
          <w:rFonts w:hint="eastAsia" w:ascii="宋体" w:hAnsi="宋体" w:eastAsia="宋体" w:cs="宋体"/>
          <w:b/>
          <w:color w:val="000000"/>
          <w:sz w:val="24"/>
          <w:szCs w:val="24"/>
          <w:lang w:val="en-US" w:eastAsia="zh-CN"/>
        </w:rPr>
        <w:t>四、商务要求</w:t>
      </w:r>
    </w:p>
    <w:p w14:paraId="4813E7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1、付款方式：合同签订正式生效后7个工作日内支付40％合同款；服务期满一年后15个工作日内支付60%的合同款。</w:t>
      </w:r>
    </w:p>
    <w:p w14:paraId="34CBC9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2、服务期：本次服务时间1年，具体日期以合同签订时间为准。</w:t>
      </w:r>
    </w:p>
    <w:p w14:paraId="7BA183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4、售后服务：如有技术疑难问题，须半小时内响应；如需到达现场处置，须2小时内到达。在服务期内，提供信息安全的咨询服务，能够协助用户进行安全整改、制度建设等工作。</w:t>
      </w:r>
    </w:p>
    <w:p w14:paraId="3C9D48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3、▲其他要求：为了提高服务质量，并对整个项目的服务周期有迹可循，项目维保周期内，要求中标供货商对供货、规划、调试、割接、集成、巡检、运维的服务记录，提供跨网传输系统并实时上传服务记录文档，涉及数据安全问题，系统需部署在甲方本地机房内，跨网传输系统要求如下：</w:t>
      </w:r>
    </w:p>
    <w:p w14:paraId="6954EB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1）支持在不同网络之间的文件传输，包括内网和外网。用户通过平台将文件从一个网络环境传输到另一个网络环境，实现文件的同步和共享。系统同时支持实时同步功能，确保文件在不同网络环境下的实时更新和一致性。（需提供软件截图证明）</w:t>
      </w:r>
    </w:p>
    <w:p w14:paraId="666B59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2）群组成员角色包括管理员(即为创建者)、子管理员(代管人)、普通成员。管理员拥有所有权限。子管理员权限包括文件版本管理、编辑文件权限、增删回收站、增删成员、成员权限编辑。（需提供软件截图证明）</w:t>
      </w:r>
    </w:p>
    <w:p w14:paraId="626387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3）支持批量文件压缩下载；支持文件夹压缩下载。（需提供软件截图证明）</w:t>
      </w:r>
    </w:p>
    <w:p w14:paraId="36405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4）采用图文形式直观展示重要数据。支持在管理端查看CPU、内存、存储资源使用情况；支持查看在线、离线人数；支持查看当天、当月、总上传文件数量；支持查个人/群组总存储资源利用率，根据Top10排列；支持查看个人、群组空间饱和程度，便于管理员分配。（需提供软件截图证明）</w:t>
      </w:r>
    </w:p>
    <w:p w14:paraId="5F4C1F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5）审批流程：接收用户传输文件的申请，可对内容进行预览（支持预览基础文件格式），处理结果为通过或驳回。</w:t>
      </w:r>
    </w:p>
    <w:p w14:paraId="76AF97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6）审批记录：审批员可查看文件审批的历史记录，必要时进行追溯。</w:t>
      </w:r>
    </w:p>
    <w:p w14:paraId="2EB666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7）审批消息：通知审批员来自用户传输文件等待审批的消息。</w:t>
      </w:r>
    </w:p>
    <w:p w14:paraId="06C2EC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8）系统支持通过文件上传格式限制进行安全管控，可自定义策略进行安全管理，默认不限制文件上传格式。（需提供软件截图证明）</w:t>
      </w:r>
    </w:p>
    <w:p w14:paraId="18B842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
          <w:color w:val="auto"/>
          <w:sz w:val="36"/>
          <w:szCs w:val="36"/>
          <w:highlight w:val="none"/>
        </w:rPr>
      </w:pPr>
      <w:r>
        <w:rPr>
          <w:rFonts w:hint="eastAsia" w:ascii="宋体" w:hAnsi="宋体" w:eastAsia="宋体" w:cs="宋体"/>
          <w:b w:val="0"/>
          <w:bCs w:val="0"/>
          <w:lang w:val="en-US" w:eastAsia="zh-CN"/>
        </w:rPr>
        <w:t>9）所有文件上传均会进行文件格式及内容的病毒扫描，支持双重扫描过程。第一阶段包括对文件的轻量级基础扫描，能够保证文件快速上传的同时同步进行文件简单病毒扫描；第二阶段包括已存在的文件进行深度病毒扫描，会根据扫描结果进行文件区分和展示。（需提供软件截图证明）</w:t>
      </w:r>
    </w:p>
    <w:p w14:paraId="34D50ECC">
      <w:pPr>
        <w:pStyle w:val="9"/>
        <w:tabs>
          <w:tab w:val="left" w:pos="805"/>
        </w:tabs>
        <w:spacing w:line="360" w:lineRule="auto"/>
        <w:jc w:val="both"/>
        <w:rPr>
          <w:rFonts w:ascii="宋体" w:hAnsi="宋体"/>
          <w:b/>
          <w:color w:val="auto"/>
          <w:sz w:val="36"/>
          <w:szCs w:val="36"/>
          <w:highlight w:val="none"/>
        </w:rPr>
      </w:pPr>
    </w:p>
    <w:p w14:paraId="5AA23D3F">
      <w:pPr>
        <w:pStyle w:val="9"/>
        <w:tabs>
          <w:tab w:val="left" w:pos="805"/>
        </w:tabs>
        <w:spacing w:line="360" w:lineRule="auto"/>
        <w:jc w:val="both"/>
        <w:rPr>
          <w:rFonts w:ascii="宋体" w:hAnsi="宋体"/>
          <w:b/>
          <w:color w:val="auto"/>
          <w:sz w:val="36"/>
          <w:szCs w:val="36"/>
          <w:highlight w:val="none"/>
        </w:rPr>
      </w:pPr>
    </w:p>
    <w:p w14:paraId="2DF04D9E">
      <w:pPr>
        <w:pStyle w:val="9"/>
        <w:tabs>
          <w:tab w:val="left" w:pos="805"/>
        </w:tabs>
        <w:spacing w:line="360" w:lineRule="auto"/>
        <w:jc w:val="both"/>
        <w:rPr>
          <w:rFonts w:ascii="宋体" w:hAnsi="宋体"/>
          <w:b/>
          <w:color w:val="auto"/>
          <w:sz w:val="36"/>
          <w:szCs w:val="36"/>
          <w:highlight w:val="none"/>
        </w:rPr>
      </w:pPr>
    </w:p>
    <w:p w14:paraId="399FC8A0">
      <w:pPr>
        <w:ind w:left="474"/>
        <w:jc w:val="center"/>
        <w:rPr>
          <w:rFonts w:ascii="宋体" w:hAnsi="宋体"/>
          <w:b/>
          <w:color w:val="auto"/>
          <w:sz w:val="32"/>
          <w:szCs w:val="32"/>
          <w:highlight w:val="none"/>
        </w:rPr>
      </w:pPr>
      <w:r>
        <w:rPr>
          <w:rFonts w:hint="eastAsia" w:ascii="宋体" w:hAnsi="宋体"/>
          <w:b/>
          <w:color w:val="auto"/>
          <w:sz w:val="32"/>
          <w:szCs w:val="32"/>
          <w:highlight w:val="none"/>
        </w:rPr>
        <w:t>第四章  报价要求</w:t>
      </w:r>
    </w:p>
    <w:p w14:paraId="51D134E3">
      <w:pPr>
        <w:keepNext w:val="0"/>
        <w:keepLines w:val="0"/>
        <w:pageBreakBefore w:val="0"/>
        <w:widowControl w:val="0"/>
        <w:kinsoku/>
        <w:wordWrap/>
        <w:overflowPunct/>
        <w:topLinePunct w:val="0"/>
        <w:autoSpaceDE/>
        <w:autoSpaceDN/>
        <w:bidi w:val="0"/>
        <w:adjustRightInd/>
        <w:snapToGrid/>
        <w:spacing w:line="360" w:lineRule="auto"/>
        <w:textAlignment w:val="auto"/>
        <w:rPr>
          <w:rFonts w:cs="Arial"/>
          <w:bCs/>
          <w:color w:val="auto"/>
          <w:sz w:val="24"/>
          <w:szCs w:val="24"/>
          <w:highlight w:val="none"/>
        </w:rPr>
      </w:pPr>
      <w:r>
        <w:rPr>
          <w:rFonts w:hint="eastAsia" w:ascii="宋体" w:hAnsi="宋体" w:eastAsia="宋体" w:cs="Arial"/>
          <w:b/>
          <w:bCs/>
          <w:color w:val="auto"/>
          <w:sz w:val="24"/>
          <w:szCs w:val="24"/>
          <w:highlight w:val="none"/>
        </w:rPr>
        <w:t>一、</w:t>
      </w:r>
      <w:r>
        <w:rPr>
          <w:rFonts w:hint="eastAsia" w:cs="Arial"/>
          <w:b/>
          <w:color w:val="auto"/>
          <w:sz w:val="24"/>
          <w:szCs w:val="24"/>
          <w:highlight w:val="none"/>
          <w:lang w:val="en-US" w:eastAsia="zh-CN"/>
        </w:rPr>
        <w:t>报价方式：本次报价方式为总价包干。投标总价应包括本项目整个服务期所需的一切软件、配套硬件、人工、工具、保险、交通、利润、税金、售后服务、保修（包含须由投标人承担的各种税费）、其它需投标人承担的费用及潜在可能涉及的一切费用。</w:t>
      </w:r>
      <w:r>
        <w:rPr>
          <w:rFonts w:hint="eastAsia" w:cs="Arial"/>
          <w:b/>
          <w:color w:val="auto"/>
          <w:sz w:val="24"/>
          <w:szCs w:val="24"/>
          <w:highlight w:val="none"/>
        </w:rPr>
        <w:t>未计入报价而应该发生的费用的，视为已含在其他分项投标报价中。投标人应认真计算可能发生的各相关费用并计入投标报价内，在项目实施过程中不得借此要求增加任何费用。报价单需盖公章。</w:t>
      </w:r>
    </w:p>
    <w:p w14:paraId="5B83437F">
      <w:pPr>
        <w:tabs>
          <w:tab w:val="left" w:pos="540"/>
        </w:tabs>
        <w:spacing w:line="480" w:lineRule="auto"/>
        <w:rPr>
          <w:rFonts w:hint="eastAsia" w:cs="Arial"/>
          <w:bCs/>
          <w:color w:val="auto"/>
          <w:sz w:val="24"/>
          <w:szCs w:val="24"/>
          <w:highlight w:val="none"/>
        </w:rPr>
      </w:pPr>
      <w:r>
        <w:rPr>
          <w:rFonts w:hint="eastAsia" w:cs="Arial"/>
          <w:bCs/>
          <w:color w:val="auto"/>
          <w:sz w:val="24"/>
          <w:szCs w:val="24"/>
          <w:highlight w:val="none"/>
        </w:rPr>
        <w:t>二、为防止出现恶意扰乱招标程序的报价，投标人报价明显高于市场价或明显低于成本价的，视为无效投标处理。</w:t>
      </w:r>
    </w:p>
    <w:p w14:paraId="036BCE53">
      <w:pPr>
        <w:tabs>
          <w:tab w:val="left" w:pos="540"/>
        </w:tabs>
        <w:spacing w:line="480" w:lineRule="auto"/>
        <w:rPr>
          <w:rFonts w:cs="Arial"/>
          <w:bCs/>
          <w:color w:val="auto"/>
          <w:sz w:val="24"/>
          <w:szCs w:val="24"/>
          <w:highlight w:val="none"/>
        </w:rPr>
      </w:pPr>
      <w:r>
        <w:rPr>
          <w:rFonts w:hint="eastAsia" w:cs="Arial"/>
          <w:bCs/>
          <w:color w:val="auto"/>
          <w:sz w:val="24"/>
          <w:szCs w:val="24"/>
          <w:highlight w:val="none"/>
          <w:lang w:val="en-US" w:eastAsia="zh-CN"/>
        </w:rPr>
        <w:t>三</w:t>
      </w:r>
      <w:r>
        <w:rPr>
          <w:rFonts w:hint="eastAsia" w:cs="Arial"/>
          <w:bCs/>
          <w:color w:val="auto"/>
          <w:sz w:val="24"/>
          <w:szCs w:val="24"/>
          <w:highlight w:val="none"/>
        </w:rPr>
        <w:t>、投标单位如违反上述条款，将被取消投标资格或终止合同（协议）。</w:t>
      </w:r>
    </w:p>
    <w:p w14:paraId="5CEC61ED">
      <w:pPr>
        <w:rPr>
          <w:b/>
          <w:color w:val="auto"/>
          <w:sz w:val="24"/>
          <w:highlight w:val="none"/>
        </w:rPr>
      </w:pPr>
    </w:p>
    <w:p w14:paraId="505C9986">
      <w:pPr>
        <w:widowControl/>
        <w:jc w:val="left"/>
        <w:rPr>
          <w:b/>
          <w:color w:val="auto"/>
          <w:sz w:val="24"/>
          <w:highlight w:val="none"/>
        </w:rPr>
      </w:pPr>
      <w:r>
        <w:rPr>
          <w:b/>
          <w:color w:val="auto"/>
          <w:sz w:val="24"/>
          <w:highlight w:val="none"/>
        </w:rPr>
        <w:br w:type="page"/>
      </w:r>
    </w:p>
    <w:p w14:paraId="73AB8C28">
      <w:pPr>
        <w:ind w:left="474"/>
        <w:jc w:val="center"/>
        <w:rPr>
          <w:rFonts w:ascii="宋体" w:hAnsi="宋体"/>
          <w:b/>
          <w:sz w:val="32"/>
          <w:szCs w:val="32"/>
        </w:rPr>
      </w:pPr>
      <w:r>
        <w:rPr>
          <w:rFonts w:hint="eastAsia" w:ascii="宋体" w:hAnsi="宋体"/>
          <w:b/>
          <w:sz w:val="32"/>
          <w:szCs w:val="32"/>
        </w:rPr>
        <w:t>第五章 投标文件格式要求</w:t>
      </w:r>
    </w:p>
    <w:p w14:paraId="5E115FBE"/>
    <w:p w14:paraId="40ACB0CD">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1.1报价文件</w:t>
      </w:r>
    </w:p>
    <w:p w14:paraId="55E91703">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sz w:val="21"/>
          <w:szCs w:val="21"/>
        </w:rPr>
      </w:pPr>
      <w:r>
        <w:rPr>
          <w:rFonts w:hint="eastAsia"/>
          <w:sz w:val="21"/>
          <w:szCs w:val="21"/>
        </w:rPr>
        <w:t>初始报价一览表(按照报价格式要求)</w:t>
      </w:r>
    </w:p>
    <w:p w14:paraId="60750097">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1.2商务技术文件</w:t>
      </w:r>
    </w:p>
    <w:p w14:paraId="0173DF2B">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（1）资格证明文件：</w:t>
      </w:r>
    </w:p>
    <w:p w14:paraId="27561581">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 xml:space="preserve">     1）投标人营业执照副本（复印件）；</w:t>
      </w:r>
    </w:p>
    <w:p w14:paraId="570CC5FB">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 xml:space="preserve">     2）有效期内的组织机构代码证（复印件）（多证合一的，只需提供营业执照复印件）；</w:t>
      </w:r>
    </w:p>
    <w:p w14:paraId="4F45098A">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 xml:space="preserve">     3）有效的税务登记证或当地税务部门开具的依法纳税的缴税（费）证明（复印件）（多证合一的，只需提供营业执照复印件）；</w:t>
      </w:r>
    </w:p>
    <w:p w14:paraId="2FBB09E0">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 xml:space="preserve">     4）有效期内的社会保险登记证或社保缴纳证明（复印件）（多证合一的，只需提供营业执照复印件）；</w:t>
      </w:r>
    </w:p>
    <w:p w14:paraId="1027B684">
      <w:pPr>
        <w:keepNext w:val="0"/>
        <w:keepLines w:val="0"/>
        <w:pageBreakBefore w:val="0"/>
        <w:widowControl w:val="0"/>
        <w:kinsoku/>
        <w:wordWrap/>
        <w:overflowPunct/>
        <w:topLinePunct w:val="0"/>
        <w:autoSpaceDE/>
        <w:autoSpaceDN/>
        <w:bidi w:val="0"/>
        <w:adjustRightInd/>
        <w:snapToGrid/>
        <w:spacing w:line="360" w:lineRule="auto"/>
        <w:ind w:firstLine="525" w:firstLineChars="250"/>
        <w:textAlignment w:val="auto"/>
        <w:rPr>
          <w:sz w:val="21"/>
          <w:szCs w:val="21"/>
        </w:rPr>
      </w:pPr>
      <w:r>
        <w:rPr>
          <w:rFonts w:hint="eastAsia"/>
          <w:sz w:val="21"/>
          <w:szCs w:val="21"/>
        </w:rPr>
        <w:t>5）投标人近三年在经营活动中没有重大违法记录的书面声明（格式参考）；</w:t>
      </w:r>
    </w:p>
    <w:p w14:paraId="67B3F8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（2）投标函；</w:t>
      </w:r>
    </w:p>
    <w:p w14:paraId="563CE4BA">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（3）投标项目浙江省内企事业单位用户名单（类似项目相关业绩）；</w:t>
      </w:r>
    </w:p>
    <w:p w14:paraId="7D62B37C">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（4）法定代表人资格证明书；</w:t>
      </w:r>
    </w:p>
    <w:p w14:paraId="6362955B">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（5）法定代表人授权委托书（法定代表人签署不需提供此书）；</w:t>
      </w:r>
    </w:p>
    <w:p w14:paraId="051C535E">
      <w:pPr>
        <w:keepNext w:val="0"/>
        <w:keepLines w:val="0"/>
        <w:pageBreakBefore w:val="0"/>
        <w:widowControl w:val="0"/>
        <w:kinsoku/>
        <w:wordWrap/>
        <w:overflowPunct/>
        <w:topLinePunct w:val="0"/>
        <w:autoSpaceDE/>
        <w:autoSpaceDN/>
        <w:bidi w:val="0"/>
        <w:adjustRightInd/>
        <w:snapToGrid/>
        <w:spacing w:line="360" w:lineRule="auto"/>
        <w:textAlignment w:val="auto"/>
        <w:rPr>
          <w:sz w:val="21"/>
          <w:szCs w:val="21"/>
        </w:rPr>
      </w:pPr>
      <w:r>
        <w:rPr>
          <w:rFonts w:hint="eastAsia"/>
          <w:sz w:val="21"/>
          <w:szCs w:val="21"/>
        </w:rPr>
        <w:t>（6）法定代表人及授权代表身份证正反面复印件；</w:t>
      </w:r>
    </w:p>
    <w:p w14:paraId="7E6CA8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w:t>
      </w:r>
      <w:r>
        <w:rPr>
          <w:rFonts w:hint="eastAsia"/>
          <w:sz w:val="21"/>
          <w:szCs w:val="21"/>
          <w:lang w:val="en-US" w:eastAsia="zh-CN"/>
        </w:rPr>
        <w:t>7</w:t>
      </w:r>
      <w:r>
        <w:rPr>
          <w:rFonts w:hint="eastAsia"/>
          <w:sz w:val="21"/>
          <w:szCs w:val="21"/>
        </w:rPr>
        <w:t>）供货</w:t>
      </w:r>
      <w:r>
        <w:rPr>
          <w:rFonts w:hint="eastAsia"/>
          <w:sz w:val="21"/>
          <w:szCs w:val="21"/>
          <w:lang w:val="en-US" w:eastAsia="zh-CN"/>
        </w:rPr>
        <w:t>或服务</w:t>
      </w:r>
      <w:r>
        <w:rPr>
          <w:rFonts w:hint="eastAsia"/>
          <w:sz w:val="21"/>
          <w:szCs w:val="21"/>
        </w:rPr>
        <w:t>清单；</w:t>
      </w:r>
    </w:p>
    <w:p w14:paraId="4C4FDE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lang w:eastAsia="zh-CN"/>
        </w:rPr>
      </w:pPr>
      <w:r>
        <w:rPr>
          <w:rFonts w:hint="eastAsia"/>
          <w:sz w:val="21"/>
          <w:szCs w:val="21"/>
        </w:rPr>
        <w:t>（</w:t>
      </w:r>
      <w:r>
        <w:rPr>
          <w:rFonts w:hint="eastAsia"/>
          <w:sz w:val="21"/>
          <w:szCs w:val="21"/>
          <w:lang w:val="en-US" w:eastAsia="zh-CN"/>
        </w:rPr>
        <w:t>8</w:t>
      </w:r>
      <w:r>
        <w:rPr>
          <w:rFonts w:hint="eastAsia"/>
          <w:sz w:val="21"/>
          <w:szCs w:val="21"/>
        </w:rPr>
        <w:t>）随机标准附件、备品备件、另配件、专用工具清单表</w:t>
      </w:r>
      <w:r>
        <w:rPr>
          <w:rFonts w:hint="eastAsia"/>
          <w:sz w:val="21"/>
          <w:szCs w:val="21"/>
          <w:lang w:eastAsia="zh-CN"/>
        </w:rPr>
        <w:t>（</w:t>
      </w:r>
      <w:r>
        <w:rPr>
          <w:rFonts w:hint="eastAsia"/>
          <w:sz w:val="21"/>
          <w:szCs w:val="21"/>
          <w:lang w:val="en-US" w:eastAsia="zh-CN"/>
        </w:rPr>
        <w:t>如适用</w:t>
      </w:r>
      <w:r>
        <w:rPr>
          <w:rFonts w:hint="eastAsia"/>
          <w:sz w:val="21"/>
          <w:szCs w:val="21"/>
          <w:lang w:eastAsia="zh-CN"/>
        </w:rPr>
        <w:t>）；</w:t>
      </w:r>
    </w:p>
    <w:p w14:paraId="213636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sz w:val="21"/>
          <w:szCs w:val="21"/>
          <w:lang w:val="en-US" w:eastAsia="zh-CN"/>
        </w:rPr>
      </w:pPr>
      <w:r>
        <w:rPr>
          <w:rFonts w:hint="eastAsia"/>
          <w:sz w:val="21"/>
          <w:szCs w:val="21"/>
        </w:rPr>
        <w:t>（</w:t>
      </w:r>
      <w:r>
        <w:rPr>
          <w:rFonts w:hint="eastAsia"/>
          <w:sz w:val="21"/>
          <w:szCs w:val="21"/>
          <w:lang w:val="en-US" w:eastAsia="zh-CN"/>
        </w:rPr>
        <w:t>9</w:t>
      </w:r>
      <w:r>
        <w:rPr>
          <w:rFonts w:hint="eastAsia"/>
          <w:sz w:val="21"/>
          <w:szCs w:val="21"/>
        </w:rPr>
        <w:t>）产品性能说明</w:t>
      </w:r>
      <w:r>
        <w:rPr>
          <w:rFonts w:hint="eastAsia"/>
          <w:sz w:val="21"/>
          <w:szCs w:val="21"/>
          <w:lang w:val="en-US" w:eastAsia="zh-CN"/>
        </w:rPr>
        <w:t>或服务内容详细说明；</w:t>
      </w:r>
    </w:p>
    <w:p w14:paraId="2E4ADF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sz w:val="21"/>
          <w:szCs w:val="21"/>
          <w:lang w:eastAsia="zh-CN"/>
        </w:rPr>
      </w:pPr>
      <w:r>
        <w:rPr>
          <w:rFonts w:hint="eastAsia"/>
          <w:sz w:val="21"/>
          <w:szCs w:val="21"/>
        </w:rPr>
        <w:t>（</w:t>
      </w:r>
      <w:r>
        <w:rPr>
          <w:rFonts w:hint="eastAsia"/>
          <w:sz w:val="21"/>
          <w:szCs w:val="21"/>
          <w:lang w:val="en-US" w:eastAsia="zh-CN"/>
        </w:rPr>
        <w:t>10</w:t>
      </w:r>
      <w:r>
        <w:rPr>
          <w:rFonts w:hint="eastAsia"/>
          <w:sz w:val="21"/>
          <w:szCs w:val="21"/>
        </w:rPr>
        <w:t>）技术规格明细表</w:t>
      </w:r>
      <w:r>
        <w:rPr>
          <w:rFonts w:hint="eastAsia"/>
          <w:sz w:val="21"/>
          <w:szCs w:val="21"/>
          <w:lang w:eastAsia="zh-CN"/>
        </w:rPr>
        <w:t>（</w:t>
      </w:r>
      <w:r>
        <w:rPr>
          <w:rFonts w:hint="eastAsia"/>
          <w:sz w:val="21"/>
          <w:szCs w:val="21"/>
          <w:lang w:val="en-US" w:eastAsia="zh-CN"/>
        </w:rPr>
        <w:t>如适用</w:t>
      </w:r>
      <w:r>
        <w:rPr>
          <w:rFonts w:hint="eastAsia"/>
          <w:sz w:val="21"/>
          <w:szCs w:val="21"/>
          <w:lang w:eastAsia="zh-CN"/>
        </w:rPr>
        <w:t>）；</w:t>
      </w:r>
    </w:p>
    <w:p w14:paraId="4C4FE0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sz w:val="21"/>
          <w:szCs w:val="21"/>
          <w:lang w:eastAsia="zh-CN"/>
        </w:rPr>
      </w:pPr>
      <w:r>
        <w:rPr>
          <w:rFonts w:hint="eastAsia"/>
          <w:sz w:val="21"/>
          <w:szCs w:val="21"/>
        </w:rPr>
        <w:t>（1</w:t>
      </w:r>
      <w:r>
        <w:rPr>
          <w:rFonts w:hint="eastAsia"/>
          <w:sz w:val="21"/>
          <w:szCs w:val="21"/>
          <w:lang w:val="en-US" w:eastAsia="zh-CN"/>
        </w:rPr>
        <w:t>1</w:t>
      </w:r>
      <w:r>
        <w:rPr>
          <w:rFonts w:hint="eastAsia"/>
          <w:sz w:val="21"/>
          <w:szCs w:val="21"/>
        </w:rPr>
        <w:t>）产品的合格证书复印件（如3C证书等）（如适用）</w:t>
      </w:r>
      <w:r>
        <w:rPr>
          <w:rFonts w:hint="eastAsia"/>
          <w:sz w:val="21"/>
          <w:szCs w:val="21"/>
          <w:lang w:eastAsia="zh-CN"/>
        </w:rPr>
        <w:t>；</w:t>
      </w:r>
    </w:p>
    <w:p w14:paraId="41F066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lang w:eastAsia="zh-CN"/>
        </w:rPr>
      </w:pPr>
      <w:r>
        <w:rPr>
          <w:rFonts w:hint="eastAsia"/>
          <w:sz w:val="21"/>
          <w:szCs w:val="21"/>
        </w:rPr>
        <w:t>（1</w:t>
      </w:r>
      <w:r>
        <w:rPr>
          <w:rFonts w:hint="eastAsia"/>
          <w:sz w:val="21"/>
          <w:szCs w:val="21"/>
          <w:lang w:val="en-US" w:eastAsia="zh-CN"/>
        </w:rPr>
        <w:t>2</w:t>
      </w:r>
      <w:r>
        <w:rPr>
          <w:rFonts w:hint="eastAsia"/>
          <w:sz w:val="21"/>
          <w:szCs w:val="21"/>
        </w:rPr>
        <w:t>）投标机型的样本或彩页</w:t>
      </w:r>
      <w:r>
        <w:rPr>
          <w:rFonts w:hint="eastAsia"/>
          <w:sz w:val="21"/>
          <w:szCs w:val="21"/>
          <w:lang w:eastAsia="zh-CN"/>
        </w:rPr>
        <w:t>（</w:t>
      </w:r>
      <w:r>
        <w:rPr>
          <w:rFonts w:hint="eastAsia"/>
          <w:sz w:val="21"/>
          <w:szCs w:val="21"/>
          <w:lang w:val="en-US" w:eastAsia="zh-CN"/>
        </w:rPr>
        <w:t>如适用</w:t>
      </w:r>
      <w:r>
        <w:rPr>
          <w:rFonts w:hint="eastAsia"/>
          <w:sz w:val="21"/>
          <w:szCs w:val="21"/>
          <w:lang w:eastAsia="zh-CN"/>
        </w:rPr>
        <w:t>）；</w:t>
      </w:r>
    </w:p>
    <w:p w14:paraId="581AE90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sz w:val="21"/>
          <w:szCs w:val="21"/>
          <w:lang w:eastAsia="zh-CN"/>
        </w:rPr>
      </w:pPr>
      <w:r>
        <w:rPr>
          <w:rFonts w:hint="eastAsia"/>
          <w:sz w:val="21"/>
          <w:szCs w:val="21"/>
        </w:rPr>
        <w:t>（</w:t>
      </w:r>
      <w:r>
        <w:rPr>
          <w:rFonts w:hint="eastAsia"/>
          <w:sz w:val="21"/>
          <w:szCs w:val="21"/>
          <w:lang w:val="en-US" w:eastAsia="zh-CN"/>
        </w:rPr>
        <w:t>13</w:t>
      </w:r>
      <w:r>
        <w:rPr>
          <w:rFonts w:hint="eastAsia"/>
          <w:sz w:val="21"/>
          <w:szCs w:val="21"/>
        </w:rPr>
        <w:t>）投标人认为有必要提供的其它文件</w:t>
      </w:r>
      <w:r>
        <w:rPr>
          <w:rFonts w:hint="eastAsia"/>
          <w:sz w:val="21"/>
          <w:szCs w:val="21"/>
          <w:lang w:eastAsia="zh-CN"/>
        </w:rPr>
        <w:t>；</w:t>
      </w:r>
    </w:p>
    <w:p w14:paraId="494D99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w:t>
      </w:r>
      <w:r>
        <w:rPr>
          <w:rFonts w:hint="eastAsia"/>
          <w:sz w:val="21"/>
          <w:szCs w:val="21"/>
          <w:lang w:val="en-US" w:eastAsia="zh-CN"/>
        </w:rPr>
        <w:t>14</w:t>
      </w:r>
      <w:r>
        <w:rPr>
          <w:rFonts w:hint="eastAsia"/>
          <w:sz w:val="21"/>
          <w:szCs w:val="21"/>
        </w:rPr>
        <w:t>）按照项目具体要求响应(可标注页码)，同时提供所需文件证明。</w:t>
      </w:r>
    </w:p>
    <w:p w14:paraId="0257E1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1.3 投标文件的编制</w:t>
      </w:r>
    </w:p>
    <w:p w14:paraId="0BCAF6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1.3.1 投标文件应按照本章1.2款中规定的顺序及采用“投标文件格式”中提供的格式进行编制。</w:t>
      </w:r>
    </w:p>
    <w:p w14:paraId="5948E8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1.3.2投标文件的正本需打印或用不退色的墨水填写，并注明“正本”字样。副本可以复印，并注明“副本”字样。当副本和正本不一致时，以正本为准。</w:t>
      </w:r>
    </w:p>
    <w:p w14:paraId="630C1C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1.3.3投标文件由投标人的法定代表人或其委托代理人签字（或盖章）、盖单位公章。投标文件应尽量避免涂改、行间插字或删除，如果出现上述情况，改动之处应加盖单位公章或由投标文件签署人签字（或盖章）确认。签字或盖章的具体要求见“投标人须知前附表”。</w:t>
      </w:r>
    </w:p>
    <w:p w14:paraId="7082CE1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1.3.4由于字迹模糊或表达不清引起的后果由投标人负责。</w:t>
      </w:r>
    </w:p>
    <w:p w14:paraId="10A32B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1.4 投标报价</w:t>
      </w:r>
    </w:p>
    <w:p w14:paraId="3ECBEDA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▲1.4.1本次投标报价为含税人民币价。</w:t>
      </w:r>
    </w:p>
    <w:p w14:paraId="189956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1.4.2投标报价包括完成所有产品供货及履行所有规定服务所产生的全部费用。产品及服务须达到采购文件规定的质量标准及使用要求。</w:t>
      </w:r>
    </w:p>
    <w:p w14:paraId="538516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1.4.3报价应按不同费用构成分开填写，具体详见“投标文件格式”。</w:t>
      </w:r>
      <w:bookmarkStart w:id="28" w:name="_Toc82338242"/>
      <w:bookmarkStart w:id="29" w:name="_Toc82873325"/>
    </w:p>
    <w:p w14:paraId="7F2873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▲1.4.4 本次投标报价采用二次报价方式，以磋商谈判后的二次承诺报价为最终报价。</w:t>
      </w:r>
    </w:p>
    <w:p w14:paraId="07FEED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lang w:val="en-US" w:eastAsia="zh-CN"/>
        </w:rPr>
        <w:t>2</w:t>
      </w:r>
      <w:r>
        <w:rPr>
          <w:rFonts w:hint="eastAsia"/>
          <w:sz w:val="21"/>
          <w:szCs w:val="21"/>
        </w:rPr>
        <w:t>、投标</w:t>
      </w:r>
      <w:bookmarkEnd w:id="28"/>
      <w:bookmarkEnd w:id="29"/>
    </w:p>
    <w:p w14:paraId="6CEBD5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2.1 投标文件的密封及标记</w:t>
      </w:r>
    </w:p>
    <w:p w14:paraId="01F08F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2.1.1投标文件应按以下方法密封</w:t>
      </w:r>
    </w:p>
    <w:p w14:paraId="6E78F0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投标文件密封要求在密封袋封皮上写明招标项目编号、项目名称、投标人名称、所投标项名称、投标文件名称（”报价文件”或“商务技术文件”）、“在投标截止时间（  年  月  日  时  分）前不得启封”。封口处应有盖单位公章或投标授权代表签字（或盖章）。</w:t>
      </w:r>
    </w:p>
    <w:p w14:paraId="03C530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2.1.2如果投标人未按上述要求加写标记，采购人对投标文件的误拆和提前启封不负责任。</w:t>
      </w:r>
    </w:p>
    <w:p w14:paraId="5A1FF6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2.1.3投标文件份数：</w:t>
      </w:r>
      <w:r>
        <w:rPr>
          <w:rFonts w:hint="eastAsia"/>
          <w:sz w:val="21"/>
          <w:szCs w:val="21"/>
        </w:rPr>
        <w:tab/>
      </w:r>
      <w:r>
        <w:rPr>
          <w:rFonts w:hint="eastAsia"/>
          <w:sz w:val="21"/>
          <w:szCs w:val="21"/>
        </w:rPr>
        <w:t>提供一式三份，其中报价文件正本一份，副本二份；商务技术文件正本一份，副本二份。</w:t>
      </w:r>
    </w:p>
    <w:p w14:paraId="40CBFE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2.1.4投标文件装订要求：</w:t>
      </w:r>
      <w:r>
        <w:rPr>
          <w:rFonts w:hint="eastAsia"/>
          <w:sz w:val="21"/>
          <w:szCs w:val="21"/>
        </w:rPr>
        <w:tab/>
      </w:r>
      <w:r>
        <w:rPr>
          <w:rFonts w:hint="eastAsia"/>
          <w:sz w:val="21"/>
          <w:szCs w:val="21"/>
        </w:rPr>
        <w:t>报价文件和商务技术文件须分别装订成册，采用胶装（粘贴方式装订），不得采用活页夹等可随时拆换的方式装订。</w:t>
      </w:r>
    </w:p>
    <w:p w14:paraId="2224F5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2.2 投标人不足三家情况处理</w:t>
      </w:r>
    </w:p>
    <w:p w14:paraId="5A929A9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投标截止时间结束后参加标项投标的供应商不足三家的，除采购任务取消情形外，采购人可选择以下方式之一处理：</w:t>
      </w:r>
    </w:p>
    <w:p w14:paraId="545E48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1）可将本标项作废标处理，重新组织采购；</w:t>
      </w:r>
    </w:p>
    <w:p w14:paraId="118556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1"/>
          <w:szCs w:val="21"/>
        </w:rPr>
      </w:pPr>
      <w:r>
        <w:rPr>
          <w:rFonts w:hint="eastAsia"/>
          <w:sz w:val="21"/>
          <w:szCs w:val="21"/>
        </w:rPr>
        <w:t>2）符合医院内控要求的其他采购方式组织采购；</w:t>
      </w:r>
    </w:p>
    <w:p w14:paraId="2A89A0F7">
      <w:pPr>
        <w:rPr>
          <w:rFonts w:hint="eastAsia"/>
          <w:sz w:val="24"/>
          <w:szCs w:val="24"/>
          <w:lang w:eastAsia="zh-CN"/>
        </w:rPr>
      </w:pPr>
    </w:p>
    <w:p w14:paraId="21428F19">
      <w:pPr>
        <w:rPr>
          <w:rFonts w:hint="eastAsia"/>
          <w:sz w:val="24"/>
          <w:szCs w:val="24"/>
        </w:rPr>
      </w:pPr>
    </w:p>
    <w:p w14:paraId="19079B24"/>
    <w:p w14:paraId="59E23442">
      <w:pPr>
        <w:snapToGrid w:val="0"/>
        <w:jc w:val="center"/>
        <w:rPr>
          <w:rFonts w:eastAsia="华文中宋"/>
          <w:b/>
          <w:bCs/>
          <w:sz w:val="32"/>
          <w:szCs w:val="32"/>
        </w:rPr>
      </w:pPr>
    </w:p>
    <w:p w14:paraId="5E32D2A0">
      <w:pPr>
        <w:snapToGrid w:val="0"/>
        <w:jc w:val="center"/>
        <w:rPr>
          <w:rFonts w:eastAsia="华文中宋"/>
          <w:b/>
          <w:bCs/>
          <w:sz w:val="32"/>
          <w:szCs w:val="32"/>
        </w:rPr>
      </w:pPr>
    </w:p>
    <w:p w14:paraId="103E60AE">
      <w:pPr>
        <w:snapToGrid w:val="0"/>
        <w:jc w:val="center"/>
        <w:rPr>
          <w:rFonts w:eastAsia="华文中宋"/>
          <w:b/>
          <w:bCs/>
          <w:sz w:val="32"/>
          <w:szCs w:val="32"/>
        </w:rPr>
      </w:pPr>
    </w:p>
    <w:p w14:paraId="6697CE35">
      <w:pPr>
        <w:snapToGrid w:val="0"/>
        <w:jc w:val="center"/>
        <w:rPr>
          <w:rFonts w:eastAsia="华文中宋"/>
          <w:b/>
          <w:bCs/>
          <w:sz w:val="32"/>
          <w:szCs w:val="32"/>
        </w:rPr>
      </w:pPr>
    </w:p>
    <w:p w14:paraId="5267AEEB">
      <w:pPr>
        <w:snapToGrid w:val="0"/>
        <w:jc w:val="center"/>
        <w:rPr>
          <w:rFonts w:eastAsia="华文中宋"/>
          <w:b/>
          <w:bCs/>
          <w:sz w:val="32"/>
          <w:szCs w:val="32"/>
        </w:rPr>
      </w:pPr>
    </w:p>
    <w:p w14:paraId="256F1612">
      <w:pPr>
        <w:snapToGrid w:val="0"/>
        <w:jc w:val="center"/>
        <w:rPr>
          <w:rFonts w:eastAsia="华文中宋"/>
          <w:b/>
          <w:bCs/>
          <w:sz w:val="32"/>
          <w:szCs w:val="32"/>
        </w:rPr>
      </w:pPr>
    </w:p>
    <w:p w14:paraId="101A8BC7">
      <w:pPr>
        <w:snapToGrid w:val="0"/>
        <w:jc w:val="center"/>
        <w:rPr>
          <w:rFonts w:eastAsia="华文中宋"/>
          <w:b/>
          <w:bCs/>
          <w:sz w:val="32"/>
          <w:szCs w:val="32"/>
        </w:rPr>
      </w:pPr>
    </w:p>
    <w:p w14:paraId="71F73890">
      <w:pPr>
        <w:snapToGrid w:val="0"/>
        <w:jc w:val="center"/>
        <w:rPr>
          <w:rFonts w:eastAsia="华文中宋"/>
          <w:b/>
          <w:bCs/>
          <w:sz w:val="32"/>
          <w:szCs w:val="32"/>
        </w:rPr>
      </w:pPr>
      <w:r>
        <w:rPr>
          <w:rFonts w:eastAsia="华文中宋"/>
          <w:b/>
          <w:bCs/>
          <w:sz w:val="32"/>
          <w:szCs w:val="32"/>
        </w:rPr>
        <w:t>承诺函</w:t>
      </w:r>
    </w:p>
    <w:p w14:paraId="3C671E0B">
      <w:pPr>
        <w:snapToGrid w:val="0"/>
        <w:rPr>
          <w:sz w:val="24"/>
          <w:szCs w:val="24"/>
          <w:u w:val="single"/>
        </w:rPr>
      </w:pPr>
      <w:r>
        <w:rPr>
          <w:rFonts w:hint="eastAsia"/>
          <w:sz w:val="24"/>
          <w:szCs w:val="24"/>
          <w:u w:val="single"/>
        </w:rPr>
        <w:t>浙江中医药大学附属第三医院</w:t>
      </w:r>
      <w:r>
        <w:rPr>
          <w:sz w:val="24"/>
          <w:szCs w:val="24"/>
          <w:u w:val="single"/>
        </w:rPr>
        <w:t>：</w:t>
      </w:r>
    </w:p>
    <w:p w14:paraId="582F1027">
      <w:pPr>
        <w:snapToGrid w:val="0"/>
        <w:ind w:firstLine="480" w:firstLineChars="200"/>
        <w:rPr>
          <w:sz w:val="24"/>
          <w:szCs w:val="24"/>
        </w:rPr>
      </w:pPr>
      <w:r>
        <w:rPr>
          <w:sz w:val="24"/>
          <w:szCs w:val="24"/>
        </w:rPr>
        <w:t>我方</w:t>
      </w:r>
      <w:r>
        <w:rPr>
          <w:sz w:val="24"/>
          <w:szCs w:val="24"/>
          <w:u w:val="single"/>
        </w:rPr>
        <w:t>（供应商）</w:t>
      </w:r>
      <w:r>
        <w:rPr>
          <w:rFonts w:hint="eastAsia"/>
          <w:sz w:val="24"/>
          <w:szCs w:val="24"/>
        </w:rPr>
        <w:t>近</w:t>
      </w:r>
      <w:r>
        <w:rPr>
          <w:sz w:val="24"/>
          <w:szCs w:val="24"/>
        </w:rPr>
        <w:t>三年内，具有良好的商业信誉，依法缴纳税收和社会保障资金，</w:t>
      </w:r>
      <w:r>
        <w:rPr>
          <w:kern w:val="0"/>
          <w:sz w:val="24"/>
          <w:szCs w:val="24"/>
        </w:rPr>
        <w:t>未被列入失信被执行人名单、重大税收违法案件当事人名单、政府采购严重违法失信行为记录名单，</w:t>
      </w:r>
      <w:r>
        <w:rPr>
          <w:sz w:val="24"/>
          <w:szCs w:val="24"/>
        </w:rPr>
        <w:t>在经营活动中没有重大违法记录（没有因违法经营受到刑事处罚，没有被责令停产停业、被吊销许可证或者执照、被处以较大数额罚款等行政处罚，没有因违法经营被禁止参加政府采购活动的期限未满情形）</w:t>
      </w:r>
      <w:r>
        <w:rPr>
          <w:kern w:val="0"/>
          <w:sz w:val="24"/>
          <w:szCs w:val="24"/>
        </w:rPr>
        <w:t>。如有虚假，采购人可取消我方任何资格（投标/中标/签订合同），我方对此无任何异议。</w:t>
      </w:r>
    </w:p>
    <w:p w14:paraId="2B873F98">
      <w:pPr>
        <w:snapToGrid w:val="0"/>
        <w:ind w:firstLine="480" w:firstLineChars="200"/>
        <w:rPr>
          <w:sz w:val="24"/>
          <w:szCs w:val="24"/>
        </w:rPr>
      </w:pPr>
      <w:r>
        <w:rPr>
          <w:sz w:val="24"/>
          <w:szCs w:val="24"/>
        </w:rPr>
        <w:t>特此承诺！</w:t>
      </w:r>
    </w:p>
    <w:p w14:paraId="7D914B44">
      <w:pPr>
        <w:snapToGrid w:val="0"/>
        <w:rPr>
          <w:sz w:val="24"/>
          <w:szCs w:val="24"/>
        </w:rPr>
      </w:pPr>
    </w:p>
    <w:p w14:paraId="6B4B46E9">
      <w:pPr>
        <w:snapToGrid w:val="0"/>
        <w:rPr>
          <w:spacing w:val="20"/>
          <w:sz w:val="24"/>
          <w:szCs w:val="24"/>
          <w:u w:val="single"/>
        </w:rPr>
      </w:pPr>
      <w:r>
        <w:rPr>
          <w:sz w:val="24"/>
          <w:szCs w:val="24"/>
        </w:rPr>
        <w:t>投标人全称（盖单位公章）：</w:t>
      </w:r>
    </w:p>
    <w:p w14:paraId="79E4985D">
      <w:pPr>
        <w:snapToGrid w:val="0"/>
        <w:rPr>
          <w:spacing w:val="20"/>
          <w:sz w:val="24"/>
          <w:szCs w:val="24"/>
          <w:u w:val="single"/>
        </w:rPr>
      </w:pPr>
      <w:r>
        <w:rPr>
          <w:sz w:val="24"/>
          <w:szCs w:val="24"/>
        </w:rPr>
        <w:t>投标文件签署人（签字或盖章）：</w:t>
      </w:r>
    </w:p>
    <w:p w14:paraId="1BBAC3DB">
      <w:pPr>
        <w:snapToGrid w:val="0"/>
        <w:rPr>
          <w:spacing w:val="20"/>
          <w:sz w:val="24"/>
          <w:szCs w:val="24"/>
        </w:rPr>
      </w:pPr>
      <w:r>
        <w:rPr>
          <w:spacing w:val="20"/>
          <w:sz w:val="24"/>
          <w:szCs w:val="24"/>
        </w:rPr>
        <w:t xml:space="preserve">日期：  </w:t>
      </w:r>
      <w:r>
        <w:rPr>
          <w:sz w:val="24"/>
          <w:szCs w:val="24"/>
        </w:rPr>
        <w:t>年  月  日</w:t>
      </w:r>
    </w:p>
    <w:p w14:paraId="67DAC78C"/>
    <w:p w14:paraId="132370B7">
      <w:pPr>
        <w:pStyle w:val="23"/>
        <w:snapToGrid w:val="0"/>
        <w:spacing w:line="360" w:lineRule="auto"/>
        <w:ind w:firstLine="420"/>
      </w:pPr>
      <w:r>
        <w:br w:type="page"/>
      </w:r>
      <w:r>
        <w:rPr>
          <w:rFonts w:hint="eastAsia" w:ascii="Times New Roman" w:hAnsi="Times New Roman"/>
        </w:rPr>
        <w:t xml:space="preserve"> </w:t>
      </w:r>
      <w:r>
        <w:t xml:space="preserve"> </w:t>
      </w:r>
    </w:p>
    <w:p w14:paraId="70E1DC45">
      <w:pPr>
        <w:snapToGrid w:val="0"/>
        <w:spacing w:line="300" w:lineRule="auto"/>
        <w:jc w:val="center"/>
      </w:pPr>
      <w:r>
        <w:rPr>
          <w:rFonts w:eastAsia="华文中宋"/>
          <w:b/>
          <w:bCs/>
          <w:sz w:val="32"/>
          <w:szCs w:val="32"/>
        </w:rPr>
        <w:t>投标函</w:t>
      </w:r>
    </w:p>
    <w:p w14:paraId="320D11C6">
      <w:pPr>
        <w:snapToGrid w:val="0"/>
        <w:spacing w:line="300" w:lineRule="auto"/>
        <w:rPr>
          <w:sz w:val="24"/>
          <w:szCs w:val="24"/>
        </w:rPr>
      </w:pPr>
      <w:r>
        <w:rPr>
          <w:rFonts w:hint="eastAsia"/>
          <w:sz w:val="24"/>
          <w:szCs w:val="24"/>
          <w:u w:val="single"/>
        </w:rPr>
        <w:t>浙江中医药大学附属第三医院</w:t>
      </w:r>
      <w:r>
        <w:rPr>
          <w:sz w:val="24"/>
          <w:szCs w:val="24"/>
        </w:rPr>
        <w:t>：</w:t>
      </w:r>
    </w:p>
    <w:p w14:paraId="72414926">
      <w:pPr>
        <w:snapToGrid w:val="0"/>
        <w:spacing w:line="300" w:lineRule="auto"/>
        <w:rPr>
          <w:sz w:val="24"/>
          <w:szCs w:val="24"/>
        </w:rPr>
      </w:pPr>
    </w:p>
    <w:p w14:paraId="4A0C8C12">
      <w:pPr>
        <w:snapToGrid w:val="0"/>
        <w:spacing w:line="300" w:lineRule="auto"/>
        <w:ind w:firstLine="412"/>
        <w:rPr>
          <w:sz w:val="24"/>
          <w:szCs w:val="24"/>
        </w:rPr>
      </w:pPr>
      <w:r>
        <w:rPr>
          <w:sz w:val="24"/>
          <w:szCs w:val="24"/>
        </w:rPr>
        <w:t>（投标人全称）参加贵方组织的（项目名称）（招标项目编号）招标的有关活动，并对（项目名称）进行投标。为此我方：</w:t>
      </w:r>
    </w:p>
    <w:p w14:paraId="47B0603D">
      <w:pPr>
        <w:snapToGrid w:val="0"/>
        <w:spacing w:line="300" w:lineRule="auto"/>
        <w:ind w:firstLine="420"/>
        <w:rPr>
          <w:sz w:val="24"/>
          <w:szCs w:val="24"/>
        </w:rPr>
      </w:pPr>
      <w:r>
        <w:rPr>
          <w:sz w:val="24"/>
          <w:szCs w:val="24"/>
        </w:rPr>
        <w:t>1、承诺在投标人须知规定的投标截止日起遵守本投标文件中的承诺，且在投标有效期满之前均具有约束力。本投标文件的有效期为自投标截止时间起</w:t>
      </w:r>
      <w:r>
        <w:rPr>
          <w:rFonts w:eastAsia="Times New Roman"/>
          <w:sz w:val="24"/>
          <w:szCs w:val="24"/>
          <w:u w:val="single"/>
        </w:rPr>
        <w:t xml:space="preserve">    </w:t>
      </w:r>
      <w:r>
        <w:rPr>
          <w:sz w:val="24"/>
          <w:szCs w:val="24"/>
        </w:rPr>
        <w:t>天。</w:t>
      </w:r>
    </w:p>
    <w:p w14:paraId="4D726FCE">
      <w:pPr>
        <w:snapToGrid w:val="0"/>
        <w:spacing w:line="300" w:lineRule="auto"/>
        <w:ind w:firstLine="420"/>
        <w:rPr>
          <w:sz w:val="24"/>
          <w:szCs w:val="24"/>
        </w:rPr>
      </w:pPr>
      <w:r>
        <w:rPr>
          <w:sz w:val="24"/>
          <w:szCs w:val="24"/>
        </w:rPr>
        <w:t>2、承诺已经具备采购人规定的特定条件。</w:t>
      </w:r>
    </w:p>
    <w:p w14:paraId="136EF850">
      <w:pPr>
        <w:snapToGrid w:val="0"/>
        <w:spacing w:line="300" w:lineRule="auto"/>
        <w:ind w:firstLine="420"/>
        <w:rPr>
          <w:sz w:val="24"/>
          <w:szCs w:val="24"/>
        </w:rPr>
      </w:pPr>
      <w:r>
        <w:rPr>
          <w:sz w:val="24"/>
          <w:szCs w:val="24"/>
        </w:rPr>
        <w:t>3、已详细审核全部采购文件，包括采购文件补充（如果有</w:t>
      </w:r>
      <w:bookmarkStart w:id="30" w:name="_GoBack"/>
      <w:bookmarkEnd w:id="30"/>
      <w:r>
        <w:rPr>
          <w:sz w:val="24"/>
          <w:szCs w:val="24"/>
        </w:rPr>
        <w:t>）、参考资料及有关附件，确认无误。</w:t>
      </w:r>
    </w:p>
    <w:p w14:paraId="15E4AF73">
      <w:pPr>
        <w:snapToGrid w:val="0"/>
        <w:spacing w:line="300" w:lineRule="auto"/>
        <w:ind w:firstLine="420"/>
        <w:rPr>
          <w:sz w:val="24"/>
          <w:szCs w:val="24"/>
        </w:rPr>
      </w:pPr>
      <w:r>
        <w:rPr>
          <w:sz w:val="24"/>
          <w:szCs w:val="24"/>
        </w:rPr>
        <w:t>4、提供投标人须知规定的全部投标文件，包括投标文件</w:t>
      </w:r>
      <w:r>
        <w:rPr>
          <w:sz w:val="24"/>
          <w:szCs w:val="24"/>
          <w:u w:val="single"/>
        </w:rPr>
        <w:t>正本</w:t>
      </w:r>
      <w:r>
        <w:rPr>
          <w:rFonts w:eastAsia="Times New Roman"/>
          <w:sz w:val="24"/>
          <w:szCs w:val="24"/>
          <w:u w:val="single"/>
        </w:rPr>
        <w:t xml:space="preserve"> </w:t>
      </w:r>
      <w:r>
        <w:rPr>
          <w:rFonts w:hint="eastAsia"/>
          <w:sz w:val="24"/>
          <w:szCs w:val="24"/>
          <w:u w:val="single"/>
        </w:rPr>
        <w:t>1</w:t>
      </w:r>
      <w:r>
        <w:rPr>
          <w:rFonts w:eastAsia="Times New Roman"/>
          <w:sz w:val="24"/>
          <w:szCs w:val="24"/>
          <w:u w:val="single"/>
        </w:rPr>
        <w:t xml:space="preserve">  </w:t>
      </w:r>
      <w:r>
        <w:rPr>
          <w:sz w:val="24"/>
          <w:szCs w:val="24"/>
          <w:u w:val="single"/>
        </w:rPr>
        <w:t>份，副本</w:t>
      </w:r>
      <w:r>
        <w:rPr>
          <w:rFonts w:eastAsia="Times New Roman"/>
          <w:sz w:val="24"/>
          <w:szCs w:val="24"/>
          <w:u w:val="single"/>
        </w:rPr>
        <w:t xml:space="preserve"> </w:t>
      </w:r>
      <w:r>
        <w:rPr>
          <w:rFonts w:hint="eastAsia" w:eastAsia="宋体"/>
          <w:sz w:val="24"/>
          <w:szCs w:val="24"/>
          <w:u w:val="single"/>
          <w:lang w:val="en-US" w:eastAsia="zh-CN"/>
        </w:rPr>
        <w:t>2</w:t>
      </w:r>
      <w:r>
        <w:rPr>
          <w:sz w:val="24"/>
          <w:szCs w:val="24"/>
          <w:u w:val="single"/>
        </w:rPr>
        <w:t>份</w:t>
      </w:r>
      <w:r>
        <w:rPr>
          <w:rFonts w:hint="eastAsia"/>
          <w:sz w:val="24"/>
          <w:szCs w:val="24"/>
          <w:u w:val="single"/>
        </w:rPr>
        <w:t xml:space="preserve">。 招标文件装订成册（胶装）密封 </w:t>
      </w:r>
    </w:p>
    <w:p w14:paraId="043EE339">
      <w:pPr>
        <w:snapToGrid w:val="0"/>
        <w:spacing w:line="300" w:lineRule="auto"/>
        <w:ind w:firstLine="420"/>
        <w:rPr>
          <w:sz w:val="24"/>
          <w:szCs w:val="24"/>
        </w:rPr>
      </w:pPr>
      <w:r>
        <w:rPr>
          <w:sz w:val="24"/>
          <w:szCs w:val="24"/>
        </w:rPr>
        <w:t>5、投标报价详见《开标一览表》。</w:t>
      </w:r>
    </w:p>
    <w:p w14:paraId="76470791">
      <w:pPr>
        <w:snapToGrid w:val="0"/>
        <w:spacing w:line="300" w:lineRule="auto"/>
        <w:ind w:firstLine="420"/>
        <w:rPr>
          <w:sz w:val="24"/>
          <w:szCs w:val="24"/>
        </w:rPr>
      </w:pPr>
      <w:r>
        <w:rPr>
          <w:sz w:val="24"/>
          <w:szCs w:val="24"/>
        </w:rPr>
        <w:t>6、保证遵守采购文件中的其他有关规定。</w:t>
      </w:r>
    </w:p>
    <w:p w14:paraId="5F765994">
      <w:pPr>
        <w:snapToGrid w:val="0"/>
        <w:spacing w:line="300" w:lineRule="auto"/>
        <w:ind w:firstLine="420"/>
        <w:rPr>
          <w:sz w:val="24"/>
          <w:szCs w:val="24"/>
        </w:rPr>
      </w:pPr>
      <w:r>
        <w:rPr>
          <w:sz w:val="24"/>
          <w:szCs w:val="24"/>
        </w:rPr>
        <w:t>7、完全理解不一定接受最低价中标。</w:t>
      </w:r>
    </w:p>
    <w:p w14:paraId="2CF9975A">
      <w:pPr>
        <w:snapToGrid w:val="0"/>
        <w:spacing w:line="300" w:lineRule="auto"/>
        <w:ind w:firstLine="420"/>
        <w:rPr>
          <w:sz w:val="24"/>
          <w:szCs w:val="24"/>
        </w:rPr>
      </w:pPr>
      <w:r>
        <w:rPr>
          <w:sz w:val="24"/>
          <w:szCs w:val="24"/>
        </w:rPr>
        <w:t>8、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14:paraId="7D76D80C">
      <w:pPr>
        <w:snapToGrid w:val="0"/>
        <w:spacing w:line="300" w:lineRule="auto"/>
        <w:ind w:firstLine="420"/>
        <w:rPr>
          <w:sz w:val="24"/>
          <w:szCs w:val="24"/>
        </w:rPr>
      </w:pPr>
      <w:r>
        <w:rPr>
          <w:sz w:val="24"/>
          <w:szCs w:val="24"/>
        </w:rPr>
        <w:t>9、保证忠实地执行双方所签订的合同，并承担合同规定的责任和义务。</w:t>
      </w:r>
    </w:p>
    <w:p w14:paraId="571D52D0">
      <w:pPr>
        <w:snapToGrid w:val="0"/>
        <w:spacing w:line="300" w:lineRule="auto"/>
        <w:ind w:firstLine="420"/>
        <w:rPr>
          <w:sz w:val="24"/>
          <w:szCs w:val="24"/>
        </w:rPr>
      </w:pPr>
      <w:r>
        <w:rPr>
          <w:sz w:val="24"/>
          <w:szCs w:val="24"/>
        </w:rPr>
        <w:t>10、我方承诺不存在以下情况：</w:t>
      </w:r>
    </w:p>
    <w:p w14:paraId="2C799B1E">
      <w:pPr>
        <w:snapToGrid w:val="0"/>
        <w:spacing w:line="300" w:lineRule="auto"/>
        <w:ind w:firstLine="420"/>
        <w:rPr>
          <w:sz w:val="24"/>
          <w:szCs w:val="24"/>
        </w:rPr>
      </w:pPr>
      <w:r>
        <w:rPr>
          <w:sz w:val="24"/>
          <w:szCs w:val="24"/>
        </w:rPr>
        <w:t>a）提供虚假材料谋取中标、成交的；</w:t>
      </w:r>
    </w:p>
    <w:p w14:paraId="43A2DA5D">
      <w:pPr>
        <w:snapToGrid w:val="0"/>
        <w:spacing w:line="300" w:lineRule="auto"/>
        <w:ind w:firstLine="420"/>
        <w:rPr>
          <w:sz w:val="24"/>
          <w:szCs w:val="24"/>
        </w:rPr>
      </w:pPr>
      <w:r>
        <w:rPr>
          <w:sz w:val="24"/>
          <w:szCs w:val="24"/>
        </w:rPr>
        <w:t>b）采取不正当手段诋毁、排挤其他供应商的；</w:t>
      </w:r>
    </w:p>
    <w:p w14:paraId="105C8570">
      <w:pPr>
        <w:snapToGrid w:val="0"/>
        <w:spacing w:line="300" w:lineRule="auto"/>
        <w:ind w:firstLine="420"/>
        <w:rPr>
          <w:sz w:val="24"/>
          <w:szCs w:val="24"/>
        </w:rPr>
      </w:pPr>
      <w:r>
        <w:rPr>
          <w:sz w:val="24"/>
          <w:szCs w:val="24"/>
        </w:rPr>
        <w:t>c）与采购人、其它供应商或者采购代理机构恶意串通的；</w:t>
      </w:r>
    </w:p>
    <w:p w14:paraId="3AEA75CB">
      <w:pPr>
        <w:snapToGrid w:val="0"/>
        <w:spacing w:line="300" w:lineRule="auto"/>
        <w:ind w:firstLine="420"/>
        <w:rPr>
          <w:sz w:val="24"/>
          <w:szCs w:val="24"/>
        </w:rPr>
      </w:pPr>
      <w:r>
        <w:rPr>
          <w:sz w:val="24"/>
          <w:szCs w:val="24"/>
        </w:rPr>
        <w:t>d）向采购人行贿或者提供其他不正当利益的；</w:t>
      </w:r>
    </w:p>
    <w:p w14:paraId="7D8DBA66">
      <w:pPr>
        <w:snapToGrid w:val="0"/>
        <w:spacing w:line="300" w:lineRule="auto"/>
        <w:rPr>
          <w:sz w:val="24"/>
          <w:szCs w:val="24"/>
        </w:rPr>
      </w:pPr>
    </w:p>
    <w:p w14:paraId="51DE7663">
      <w:pPr>
        <w:snapToGrid w:val="0"/>
        <w:spacing w:line="300" w:lineRule="auto"/>
        <w:ind w:firstLine="480"/>
        <w:rPr>
          <w:sz w:val="24"/>
          <w:szCs w:val="24"/>
        </w:rPr>
      </w:pPr>
      <w:r>
        <w:rPr>
          <w:sz w:val="24"/>
          <w:szCs w:val="24"/>
        </w:rPr>
        <w:t>投标人全称（盖单位公章）：</w:t>
      </w:r>
    </w:p>
    <w:p w14:paraId="674BE494">
      <w:pPr>
        <w:snapToGrid w:val="0"/>
        <w:spacing w:line="300" w:lineRule="auto"/>
        <w:ind w:firstLine="480"/>
        <w:rPr>
          <w:sz w:val="24"/>
          <w:szCs w:val="24"/>
        </w:rPr>
      </w:pPr>
      <w:r>
        <w:rPr>
          <w:sz w:val="24"/>
          <w:szCs w:val="24"/>
        </w:rPr>
        <w:t>投标文件签署人（签字或盖章）：</w:t>
      </w:r>
    </w:p>
    <w:p w14:paraId="6A9B74D8">
      <w:pPr>
        <w:snapToGrid w:val="0"/>
        <w:spacing w:line="300" w:lineRule="auto"/>
        <w:ind w:firstLine="480"/>
        <w:rPr>
          <w:sz w:val="24"/>
          <w:szCs w:val="24"/>
        </w:rPr>
      </w:pPr>
      <w:r>
        <w:rPr>
          <w:sz w:val="24"/>
          <w:szCs w:val="24"/>
        </w:rPr>
        <w:t>日期：</w:t>
      </w:r>
      <w:r>
        <w:rPr>
          <w:rFonts w:eastAsia="Times New Roman"/>
          <w:sz w:val="24"/>
          <w:szCs w:val="24"/>
        </w:rPr>
        <w:t xml:space="preserve">  </w:t>
      </w:r>
      <w:r>
        <w:rPr>
          <w:sz w:val="24"/>
          <w:szCs w:val="24"/>
        </w:rPr>
        <w:t>年</w:t>
      </w:r>
      <w:r>
        <w:rPr>
          <w:rFonts w:eastAsia="Times New Roman"/>
          <w:sz w:val="24"/>
          <w:szCs w:val="24"/>
        </w:rPr>
        <w:t xml:space="preserve">  </w:t>
      </w:r>
      <w:r>
        <w:rPr>
          <w:sz w:val="24"/>
          <w:szCs w:val="24"/>
        </w:rPr>
        <w:t>月</w:t>
      </w:r>
      <w:r>
        <w:rPr>
          <w:rFonts w:eastAsia="Times New Roman"/>
          <w:sz w:val="24"/>
          <w:szCs w:val="24"/>
        </w:rPr>
        <w:t xml:space="preserve">  </w:t>
      </w:r>
      <w:r>
        <w:rPr>
          <w:sz w:val="24"/>
          <w:szCs w:val="24"/>
        </w:rPr>
        <w:t>日</w:t>
      </w:r>
    </w:p>
    <w:p w14:paraId="2975FBE4">
      <w:pPr>
        <w:snapToGrid w:val="0"/>
        <w:spacing w:line="300" w:lineRule="auto"/>
        <w:ind w:firstLine="480"/>
        <w:rPr>
          <w:sz w:val="24"/>
          <w:szCs w:val="24"/>
        </w:rPr>
      </w:pPr>
      <w:r>
        <w:rPr>
          <w:sz w:val="24"/>
          <w:szCs w:val="24"/>
        </w:rPr>
        <w:t>单位地址：</w:t>
      </w:r>
    </w:p>
    <w:p w14:paraId="7F883C1A">
      <w:pPr>
        <w:snapToGrid w:val="0"/>
        <w:spacing w:line="300" w:lineRule="auto"/>
        <w:ind w:firstLine="480"/>
        <w:rPr>
          <w:sz w:val="24"/>
          <w:szCs w:val="24"/>
        </w:rPr>
      </w:pPr>
      <w:r>
        <w:rPr>
          <w:sz w:val="24"/>
          <w:szCs w:val="24"/>
        </w:rPr>
        <w:t>邮编：</w:t>
      </w:r>
    </w:p>
    <w:p w14:paraId="10789251">
      <w:pPr>
        <w:snapToGrid w:val="0"/>
        <w:spacing w:line="300" w:lineRule="auto"/>
        <w:ind w:firstLine="480"/>
        <w:rPr>
          <w:sz w:val="24"/>
          <w:szCs w:val="24"/>
        </w:rPr>
      </w:pPr>
      <w:r>
        <w:rPr>
          <w:sz w:val="24"/>
          <w:szCs w:val="24"/>
        </w:rPr>
        <w:t>电话：</w:t>
      </w:r>
    </w:p>
    <w:p w14:paraId="6CA6AA99">
      <w:pPr>
        <w:snapToGrid w:val="0"/>
        <w:spacing w:line="300" w:lineRule="auto"/>
        <w:ind w:firstLine="480"/>
        <w:rPr>
          <w:sz w:val="24"/>
          <w:szCs w:val="24"/>
        </w:rPr>
      </w:pPr>
      <w:r>
        <w:rPr>
          <w:sz w:val="24"/>
          <w:szCs w:val="24"/>
        </w:rPr>
        <w:t>传真：</w:t>
      </w:r>
    </w:p>
    <w:p w14:paraId="3937D3A8">
      <w:pPr>
        <w:snapToGrid w:val="0"/>
        <w:spacing w:line="300" w:lineRule="auto"/>
        <w:jc w:val="center"/>
        <w:rPr>
          <w:rFonts w:eastAsia="华文中宋"/>
          <w:b/>
          <w:bCs/>
          <w:sz w:val="32"/>
          <w:szCs w:val="32"/>
        </w:rPr>
      </w:pPr>
    </w:p>
    <w:p w14:paraId="501867CC">
      <w:pPr>
        <w:snapToGrid w:val="0"/>
        <w:spacing w:line="300" w:lineRule="auto"/>
        <w:jc w:val="center"/>
      </w:pPr>
      <w:r>
        <w:rPr>
          <w:rFonts w:eastAsia="华文中宋"/>
          <w:b/>
          <w:bCs/>
          <w:sz w:val="32"/>
          <w:szCs w:val="32"/>
        </w:rPr>
        <w:t>法定代表人资格证明书</w:t>
      </w:r>
    </w:p>
    <w:p w14:paraId="3CB1BCCF">
      <w:pPr>
        <w:snapToGrid w:val="0"/>
        <w:ind w:firstLine="420"/>
        <w:rPr>
          <w:sz w:val="24"/>
          <w:szCs w:val="24"/>
        </w:rPr>
      </w:pPr>
      <w:r>
        <w:rPr>
          <w:sz w:val="24"/>
          <w:szCs w:val="24"/>
        </w:rPr>
        <w:t>投标人名称：</w:t>
      </w:r>
    </w:p>
    <w:p w14:paraId="56FF23D0">
      <w:pPr>
        <w:snapToGrid w:val="0"/>
        <w:ind w:firstLine="420"/>
        <w:rPr>
          <w:sz w:val="24"/>
          <w:szCs w:val="24"/>
        </w:rPr>
      </w:pPr>
      <w:r>
        <w:rPr>
          <w:sz w:val="24"/>
          <w:szCs w:val="24"/>
        </w:rPr>
        <w:t>法定地址：</w:t>
      </w:r>
    </w:p>
    <w:p w14:paraId="314A0565">
      <w:pPr>
        <w:snapToGrid w:val="0"/>
        <w:ind w:firstLine="420"/>
        <w:rPr>
          <w:sz w:val="24"/>
          <w:szCs w:val="24"/>
        </w:rPr>
      </w:pPr>
      <w:r>
        <w:rPr>
          <w:sz w:val="24"/>
          <w:szCs w:val="24"/>
        </w:rPr>
        <w:t>姓名：</w:t>
      </w:r>
    </w:p>
    <w:p w14:paraId="5F03A420">
      <w:pPr>
        <w:snapToGrid w:val="0"/>
        <w:ind w:firstLine="420"/>
        <w:rPr>
          <w:sz w:val="24"/>
          <w:szCs w:val="24"/>
        </w:rPr>
      </w:pPr>
      <w:r>
        <w:rPr>
          <w:sz w:val="24"/>
          <w:szCs w:val="24"/>
        </w:rPr>
        <w:t>性别：</w:t>
      </w:r>
    </w:p>
    <w:p w14:paraId="4E077A37">
      <w:pPr>
        <w:snapToGrid w:val="0"/>
        <w:ind w:firstLine="420"/>
        <w:rPr>
          <w:sz w:val="24"/>
          <w:szCs w:val="24"/>
        </w:rPr>
      </w:pPr>
      <w:r>
        <w:rPr>
          <w:sz w:val="24"/>
          <w:szCs w:val="24"/>
        </w:rPr>
        <w:t>年龄：</w:t>
      </w:r>
    </w:p>
    <w:p w14:paraId="74897D48">
      <w:pPr>
        <w:snapToGrid w:val="0"/>
        <w:ind w:firstLine="420"/>
        <w:rPr>
          <w:sz w:val="24"/>
          <w:szCs w:val="24"/>
        </w:rPr>
      </w:pPr>
      <w:r>
        <w:rPr>
          <w:sz w:val="24"/>
          <w:szCs w:val="24"/>
        </w:rPr>
        <w:t>职务：</w:t>
      </w:r>
    </w:p>
    <w:p w14:paraId="3EF1107D">
      <w:pPr>
        <w:snapToGrid w:val="0"/>
        <w:ind w:firstLine="420"/>
        <w:rPr>
          <w:sz w:val="24"/>
          <w:szCs w:val="24"/>
        </w:rPr>
      </w:pPr>
      <w:r>
        <w:rPr>
          <w:sz w:val="24"/>
          <w:szCs w:val="24"/>
        </w:rPr>
        <w:t>身份证号码：</w:t>
      </w:r>
    </w:p>
    <w:p w14:paraId="3E0225EC">
      <w:pPr>
        <w:snapToGrid w:val="0"/>
        <w:ind w:firstLine="420"/>
        <w:rPr>
          <w:sz w:val="24"/>
          <w:szCs w:val="24"/>
        </w:rPr>
      </w:pPr>
      <w:r>
        <w:rPr>
          <w:sz w:val="24"/>
          <w:szCs w:val="24"/>
        </w:rPr>
        <w:t>该同志系公司法定代表人。</w:t>
      </w:r>
    </w:p>
    <w:p w14:paraId="4FB57088">
      <w:pPr>
        <w:snapToGrid w:val="0"/>
        <w:ind w:firstLine="420"/>
        <w:rPr>
          <w:sz w:val="24"/>
          <w:szCs w:val="24"/>
        </w:rPr>
      </w:pPr>
      <w:r>
        <w:rPr>
          <w:sz w:val="24"/>
          <w:szCs w:val="24"/>
        </w:rPr>
        <w:t>特此证明！</w:t>
      </w:r>
    </w:p>
    <w:p w14:paraId="5FAF4354">
      <w:pPr>
        <w:snapToGrid w:val="0"/>
        <w:ind w:firstLine="420"/>
        <w:rPr>
          <w:sz w:val="24"/>
          <w:szCs w:val="24"/>
        </w:rPr>
      </w:pPr>
    </w:p>
    <w:p w14:paraId="284E83CC">
      <w:pPr>
        <w:snapToGrid w:val="0"/>
        <w:ind w:firstLine="420"/>
        <w:rPr>
          <w:sz w:val="24"/>
          <w:szCs w:val="24"/>
        </w:rPr>
      </w:pPr>
    </w:p>
    <w:p w14:paraId="65D3B4AE">
      <w:pPr>
        <w:snapToGrid w:val="0"/>
        <w:ind w:firstLine="420"/>
        <w:rPr>
          <w:sz w:val="24"/>
          <w:szCs w:val="24"/>
        </w:rPr>
      </w:pPr>
      <w:r>
        <w:rPr>
          <w:sz w:val="24"/>
          <w:szCs w:val="24"/>
        </w:rPr>
        <w:t>投标人：（盖章）</w:t>
      </w:r>
    </w:p>
    <w:p w14:paraId="11990DC1">
      <w:pPr>
        <w:snapToGrid w:val="0"/>
        <w:ind w:firstLine="420"/>
        <w:rPr>
          <w:sz w:val="24"/>
          <w:szCs w:val="24"/>
        </w:rPr>
      </w:pPr>
    </w:p>
    <w:p w14:paraId="1FFAD827">
      <w:pPr>
        <w:snapToGrid w:val="0"/>
        <w:ind w:firstLine="420"/>
        <w:rPr>
          <w:sz w:val="24"/>
          <w:szCs w:val="24"/>
        </w:rPr>
      </w:pPr>
      <w:r>
        <w:rPr>
          <w:sz w:val="24"/>
          <w:szCs w:val="24"/>
        </w:rPr>
        <w:t>日期：</w:t>
      </w:r>
      <w:r>
        <w:rPr>
          <w:rFonts w:eastAsia="Times New Roman"/>
          <w:sz w:val="24"/>
          <w:szCs w:val="24"/>
        </w:rPr>
        <w:t xml:space="preserve">  </w:t>
      </w:r>
      <w:r>
        <w:rPr>
          <w:sz w:val="24"/>
          <w:szCs w:val="24"/>
        </w:rPr>
        <w:t>年</w:t>
      </w:r>
      <w:r>
        <w:rPr>
          <w:rFonts w:eastAsia="Times New Roman"/>
          <w:sz w:val="24"/>
          <w:szCs w:val="24"/>
        </w:rPr>
        <w:t xml:space="preserve">  </w:t>
      </w:r>
      <w:r>
        <w:rPr>
          <w:sz w:val="24"/>
          <w:szCs w:val="24"/>
        </w:rPr>
        <w:t>月</w:t>
      </w:r>
      <w:r>
        <w:rPr>
          <w:rFonts w:eastAsia="Times New Roman"/>
          <w:sz w:val="24"/>
          <w:szCs w:val="24"/>
        </w:rPr>
        <w:t xml:space="preserve">  </w:t>
      </w:r>
      <w:r>
        <w:rPr>
          <w:sz w:val="24"/>
          <w:szCs w:val="24"/>
        </w:rPr>
        <w:t>日</w:t>
      </w:r>
    </w:p>
    <w:p w14:paraId="44DB291E">
      <w:pPr>
        <w:snapToGrid w:val="0"/>
        <w:ind w:firstLine="420"/>
        <w:rPr>
          <w:sz w:val="24"/>
          <w:szCs w:val="24"/>
        </w:rPr>
      </w:pPr>
    </w:p>
    <w:p w14:paraId="58B0184A">
      <w:pPr>
        <w:rPr>
          <w:sz w:val="24"/>
          <w:szCs w:val="24"/>
        </w:rPr>
      </w:pPr>
    </w:p>
    <w:p w14:paraId="477B4521">
      <w:pPr>
        <w:ind w:firstLine="420"/>
        <w:rPr>
          <w:sz w:val="24"/>
          <w:szCs w:val="24"/>
        </w:rPr>
      </w:pPr>
      <w:r>
        <w:rPr>
          <w:sz w:val="24"/>
          <w:szCs w:val="24"/>
        </w:rPr>
        <w:t>附：</w:t>
      </w:r>
    </w:p>
    <w:tbl>
      <w:tblPr>
        <w:tblStyle w:val="18"/>
        <w:tblW w:w="0" w:type="auto"/>
        <w:tblInd w:w="268" w:type="dxa"/>
        <w:tblLayout w:type="fixed"/>
        <w:tblCellMar>
          <w:top w:w="0" w:type="dxa"/>
          <w:left w:w="108" w:type="dxa"/>
          <w:bottom w:w="0" w:type="dxa"/>
          <w:right w:w="108" w:type="dxa"/>
        </w:tblCellMar>
      </w:tblPr>
      <w:tblGrid>
        <w:gridCol w:w="2700"/>
        <w:gridCol w:w="2340"/>
        <w:gridCol w:w="2740"/>
      </w:tblGrid>
      <w:tr w14:paraId="05144005">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32E0F8A3">
            <w:pPr>
              <w:rPr>
                <w:sz w:val="24"/>
                <w:szCs w:val="24"/>
              </w:rPr>
            </w:pPr>
            <w:r>
              <w:rPr>
                <w:sz w:val="24"/>
                <w:szCs w:val="24"/>
              </w:rPr>
              <w:t>法定代表人身份证复印件</w:t>
            </w:r>
            <w:r>
              <w:rPr>
                <w:rFonts w:hint="eastAsia"/>
                <w:sz w:val="24"/>
                <w:szCs w:val="24"/>
              </w:rPr>
              <w:t>正面</w:t>
            </w:r>
          </w:p>
          <w:p w14:paraId="739FA11E">
            <w:pPr>
              <w:rPr>
                <w:sz w:val="24"/>
                <w:szCs w:val="24"/>
              </w:rPr>
            </w:pPr>
          </w:p>
        </w:tc>
        <w:tc>
          <w:tcPr>
            <w:tcW w:w="2340" w:type="dxa"/>
            <w:tcBorders>
              <w:left w:val="single" w:color="000000" w:sz="4" w:space="0"/>
            </w:tcBorders>
            <w:shd w:val="clear" w:color="auto" w:fill="auto"/>
          </w:tcPr>
          <w:p w14:paraId="04632181">
            <w:pPr>
              <w:widowControl/>
              <w:snapToGrid w:val="0"/>
              <w:jc w:val="left"/>
              <w:rPr>
                <w:sz w:val="24"/>
                <w:szCs w:val="24"/>
              </w:rPr>
            </w:pPr>
          </w:p>
          <w:p w14:paraId="680A9268">
            <w:pPr>
              <w:rPr>
                <w:sz w:val="24"/>
                <w:szCs w:val="24"/>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09ACB470">
            <w:pPr>
              <w:rPr>
                <w:sz w:val="24"/>
                <w:szCs w:val="24"/>
              </w:rPr>
            </w:pPr>
            <w:r>
              <w:rPr>
                <w:sz w:val="24"/>
                <w:szCs w:val="24"/>
              </w:rPr>
              <w:t>法定代表人身份证复印件</w:t>
            </w:r>
            <w:r>
              <w:rPr>
                <w:rFonts w:hint="eastAsia"/>
                <w:sz w:val="24"/>
                <w:szCs w:val="24"/>
              </w:rPr>
              <w:t xml:space="preserve"> 反面</w:t>
            </w:r>
          </w:p>
          <w:p w14:paraId="477D7AC2">
            <w:pPr>
              <w:rPr>
                <w:sz w:val="24"/>
                <w:szCs w:val="24"/>
              </w:rPr>
            </w:pPr>
          </w:p>
        </w:tc>
      </w:tr>
    </w:tbl>
    <w:p w14:paraId="1A92B964">
      <w:pPr>
        <w:snapToGrid w:val="0"/>
        <w:spacing w:line="300" w:lineRule="auto"/>
        <w:jc w:val="center"/>
        <w:rPr>
          <w:rFonts w:eastAsia="华文中宋"/>
          <w:b/>
          <w:bCs/>
          <w:sz w:val="24"/>
          <w:szCs w:val="24"/>
        </w:rPr>
      </w:pPr>
    </w:p>
    <w:p w14:paraId="7195CDFD">
      <w:pPr>
        <w:snapToGrid w:val="0"/>
        <w:spacing w:line="300" w:lineRule="auto"/>
        <w:jc w:val="center"/>
        <w:rPr>
          <w:rFonts w:eastAsia="华文中宋"/>
          <w:b/>
          <w:bCs/>
          <w:sz w:val="32"/>
          <w:szCs w:val="32"/>
        </w:rPr>
      </w:pPr>
    </w:p>
    <w:p w14:paraId="2108A923">
      <w:pPr>
        <w:snapToGrid w:val="0"/>
        <w:spacing w:line="300" w:lineRule="auto"/>
        <w:jc w:val="center"/>
        <w:rPr>
          <w:rFonts w:eastAsia="华文中宋"/>
          <w:b/>
          <w:bCs/>
          <w:sz w:val="32"/>
          <w:szCs w:val="32"/>
        </w:rPr>
      </w:pPr>
    </w:p>
    <w:p w14:paraId="77AC6F93">
      <w:pPr>
        <w:snapToGrid w:val="0"/>
        <w:spacing w:line="300" w:lineRule="auto"/>
        <w:jc w:val="center"/>
        <w:rPr>
          <w:rFonts w:eastAsia="华文中宋"/>
          <w:b/>
          <w:bCs/>
          <w:sz w:val="32"/>
          <w:szCs w:val="32"/>
        </w:rPr>
      </w:pPr>
    </w:p>
    <w:p w14:paraId="10BF0A21">
      <w:pPr>
        <w:snapToGrid w:val="0"/>
        <w:spacing w:line="300" w:lineRule="auto"/>
        <w:jc w:val="center"/>
        <w:rPr>
          <w:rFonts w:eastAsia="华文中宋"/>
          <w:b/>
          <w:bCs/>
          <w:sz w:val="32"/>
          <w:szCs w:val="32"/>
        </w:rPr>
      </w:pPr>
    </w:p>
    <w:p w14:paraId="62CDB783">
      <w:pPr>
        <w:snapToGrid w:val="0"/>
        <w:spacing w:line="300" w:lineRule="auto"/>
        <w:jc w:val="center"/>
        <w:rPr>
          <w:rFonts w:eastAsia="华文中宋"/>
          <w:b/>
          <w:bCs/>
          <w:sz w:val="32"/>
          <w:szCs w:val="32"/>
        </w:rPr>
      </w:pPr>
    </w:p>
    <w:p w14:paraId="08CABD80">
      <w:pPr>
        <w:snapToGrid w:val="0"/>
        <w:spacing w:line="300" w:lineRule="auto"/>
        <w:jc w:val="center"/>
      </w:pPr>
      <w:r>
        <w:rPr>
          <w:rFonts w:eastAsia="华文中宋"/>
          <w:b/>
          <w:bCs/>
          <w:sz w:val="32"/>
          <w:szCs w:val="32"/>
        </w:rPr>
        <w:t>法定代表人授权委托书</w:t>
      </w:r>
    </w:p>
    <w:p w14:paraId="0923B1C1">
      <w:pPr>
        <w:snapToGrid w:val="0"/>
        <w:spacing w:line="300" w:lineRule="auto"/>
        <w:jc w:val="center"/>
        <w:rPr>
          <w:sz w:val="24"/>
          <w:szCs w:val="24"/>
        </w:rPr>
      </w:pPr>
      <w:r>
        <w:rPr>
          <w:sz w:val="24"/>
          <w:szCs w:val="24"/>
        </w:rPr>
        <w:t>（法定代表人签署不需提供此书）</w:t>
      </w:r>
    </w:p>
    <w:p w14:paraId="7061F3E6">
      <w:pPr>
        <w:rPr>
          <w:rFonts w:eastAsia="华文中宋"/>
          <w:b/>
          <w:bCs/>
          <w:sz w:val="24"/>
          <w:szCs w:val="24"/>
        </w:rPr>
      </w:pPr>
    </w:p>
    <w:p w14:paraId="05305749">
      <w:pPr>
        <w:snapToGrid w:val="0"/>
        <w:rPr>
          <w:sz w:val="24"/>
          <w:szCs w:val="24"/>
        </w:rPr>
      </w:pPr>
      <w:r>
        <w:rPr>
          <w:bCs/>
          <w:sz w:val="24"/>
          <w:szCs w:val="24"/>
        </w:rPr>
        <w:t>致</w:t>
      </w:r>
      <w:r>
        <w:rPr>
          <w:rFonts w:hint="eastAsia"/>
          <w:bCs/>
          <w:sz w:val="24"/>
          <w:szCs w:val="24"/>
        </w:rPr>
        <w:t>浙江中医药大学附属第三医院</w:t>
      </w:r>
      <w:r>
        <w:rPr>
          <w:sz w:val="24"/>
          <w:szCs w:val="24"/>
        </w:rPr>
        <w:t>：</w:t>
      </w:r>
    </w:p>
    <w:p w14:paraId="13838A09">
      <w:pPr>
        <w:snapToGrid w:val="0"/>
        <w:rPr>
          <w:b/>
          <w:bCs/>
          <w:sz w:val="24"/>
          <w:szCs w:val="24"/>
        </w:rPr>
      </w:pPr>
    </w:p>
    <w:p w14:paraId="7E2FCBD1">
      <w:pPr>
        <w:snapToGrid w:val="0"/>
        <w:ind w:firstLine="420"/>
        <w:rPr>
          <w:sz w:val="24"/>
          <w:szCs w:val="24"/>
        </w:rPr>
      </w:pPr>
      <w:r>
        <w:rPr>
          <w:sz w:val="24"/>
          <w:szCs w:val="24"/>
        </w:rPr>
        <w:t>我</w:t>
      </w:r>
      <w:r>
        <w:rPr>
          <w:rFonts w:eastAsia="Times New Roman"/>
          <w:sz w:val="24"/>
          <w:szCs w:val="24"/>
          <w:u w:val="single"/>
        </w:rPr>
        <w:t xml:space="preserve">      </w:t>
      </w:r>
      <w:r>
        <w:rPr>
          <w:sz w:val="24"/>
          <w:szCs w:val="24"/>
        </w:rPr>
        <w:t>_（姓名）系</w:t>
      </w:r>
      <w:r>
        <w:rPr>
          <w:rFonts w:eastAsia="Times New Roman"/>
          <w:sz w:val="24"/>
          <w:szCs w:val="24"/>
          <w:u w:val="single"/>
        </w:rPr>
        <w:t xml:space="preserve">             </w:t>
      </w:r>
      <w:r>
        <w:rPr>
          <w:sz w:val="24"/>
          <w:szCs w:val="24"/>
          <w:u w:val="single"/>
        </w:rPr>
        <w:t>_</w:t>
      </w:r>
      <w:r>
        <w:rPr>
          <w:sz w:val="24"/>
          <w:szCs w:val="24"/>
        </w:rPr>
        <w:t>_（投标人名称）的法定代表人，现授权委托本单位在职职工</w:t>
      </w:r>
      <w:r>
        <w:rPr>
          <w:rFonts w:eastAsia="Times New Roman"/>
          <w:sz w:val="24"/>
          <w:szCs w:val="24"/>
          <w:u w:val="single"/>
        </w:rPr>
        <w:t xml:space="preserve">              </w:t>
      </w:r>
      <w:r>
        <w:rPr>
          <w:sz w:val="24"/>
          <w:szCs w:val="24"/>
        </w:rPr>
        <w:t>（姓名）以我方的名义参加</w:t>
      </w:r>
      <w:r>
        <w:rPr>
          <w:rFonts w:eastAsia="Times New Roman"/>
          <w:sz w:val="24"/>
          <w:szCs w:val="24"/>
          <w:u w:val="single"/>
        </w:rPr>
        <w:t xml:space="preserve">   </w:t>
      </w:r>
      <w:r>
        <w:rPr>
          <w:sz w:val="24"/>
          <w:szCs w:val="24"/>
          <w:u w:val="single"/>
        </w:rPr>
        <w:t>（项目名称）</w:t>
      </w:r>
      <w:r>
        <w:rPr>
          <w:rFonts w:eastAsia="Times New Roman"/>
          <w:sz w:val="24"/>
          <w:szCs w:val="24"/>
          <w:u w:val="single"/>
        </w:rPr>
        <w:t xml:space="preserve">   </w:t>
      </w:r>
      <w:r>
        <w:rPr>
          <w:sz w:val="24"/>
          <w:szCs w:val="24"/>
        </w:rPr>
        <w:t>项目的投标活动，并代表我方全权办理针对上述项目的投标、开标、评标、签约等具体事务和签署相关文件。</w:t>
      </w:r>
    </w:p>
    <w:p w14:paraId="1D7237C0">
      <w:pPr>
        <w:snapToGrid w:val="0"/>
        <w:ind w:firstLine="420"/>
        <w:rPr>
          <w:sz w:val="24"/>
          <w:szCs w:val="24"/>
        </w:rPr>
      </w:pPr>
      <w:r>
        <w:rPr>
          <w:sz w:val="24"/>
          <w:szCs w:val="24"/>
        </w:rPr>
        <w:t>我方对被授权人的签名事项负全部责任。</w:t>
      </w:r>
    </w:p>
    <w:p w14:paraId="59C924F0">
      <w:pPr>
        <w:snapToGrid w:val="0"/>
        <w:ind w:firstLine="420"/>
        <w:rPr>
          <w:sz w:val="24"/>
          <w:szCs w:val="24"/>
        </w:rPr>
      </w:pPr>
      <w:r>
        <w:rPr>
          <w:sz w:val="24"/>
          <w:szCs w:val="24"/>
        </w:rPr>
        <w:t>在撤销授权的书面通知以前，本授权书一直有效。被授权人在授权书有效期内签署的所有文件不因授权的撤销而失效。</w:t>
      </w:r>
    </w:p>
    <w:p w14:paraId="06D036A8">
      <w:pPr>
        <w:snapToGrid w:val="0"/>
        <w:ind w:firstLine="420"/>
        <w:rPr>
          <w:sz w:val="24"/>
          <w:szCs w:val="24"/>
        </w:rPr>
      </w:pPr>
      <w:r>
        <w:rPr>
          <w:sz w:val="24"/>
          <w:szCs w:val="24"/>
        </w:rPr>
        <w:t>被授权人无转委托权，特此委托。</w:t>
      </w:r>
    </w:p>
    <w:p w14:paraId="658CC63A">
      <w:pPr>
        <w:snapToGrid w:val="0"/>
        <w:rPr>
          <w:sz w:val="24"/>
          <w:szCs w:val="24"/>
        </w:rPr>
      </w:pPr>
    </w:p>
    <w:p w14:paraId="27EB3507">
      <w:pPr>
        <w:snapToGrid w:val="0"/>
        <w:rPr>
          <w:sz w:val="24"/>
          <w:szCs w:val="24"/>
        </w:rPr>
      </w:pPr>
      <w:r>
        <w:rPr>
          <w:sz w:val="24"/>
          <w:szCs w:val="24"/>
        </w:rPr>
        <w:t>被授权人签名：</w:t>
      </w:r>
      <w:r>
        <w:rPr>
          <w:rFonts w:eastAsia="Times New Roman"/>
          <w:sz w:val="24"/>
          <w:szCs w:val="24"/>
          <w:u w:val="single"/>
        </w:rPr>
        <w:t xml:space="preserve">                    </w:t>
      </w:r>
    </w:p>
    <w:p w14:paraId="57FCC7EB">
      <w:pPr>
        <w:snapToGrid w:val="0"/>
        <w:rPr>
          <w:sz w:val="24"/>
          <w:szCs w:val="24"/>
        </w:rPr>
      </w:pPr>
      <w:r>
        <w:rPr>
          <w:sz w:val="24"/>
          <w:szCs w:val="24"/>
        </w:rPr>
        <w:t>职</w:t>
      </w:r>
      <w:r>
        <w:rPr>
          <w:rFonts w:eastAsia="Times New Roman"/>
          <w:sz w:val="24"/>
          <w:szCs w:val="24"/>
        </w:rPr>
        <w:t xml:space="preserve">        </w:t>
      </w:r>
      <w:r>
        <w:rPr>
          <w:sz w:val="24"/>
          <w:szCs w:val="24"/>
        </w:rPr>
        <w:t>务：</w:t>
      </w:r>
      <w:r>
        <w:rPr>
          <w:rFonts w:eastAsia="Times New Roman"/>
          <w:sz w:val="24"/>
          <w:szCs w:val="24"/>
          <w:u w:val="single"/>
        </w:rPr>
        <w:t xml:space="preserve">                    </w:t>
      </w:r>
    </w:p>
    <w:p w14:paraId="60CFF33C">
      <w:pPr>
        <w:snapToGrid w:val="0"/>
        <w:rPr>
          <w:sz w:val="24"/>
          <w:szCs w:val="24"/>
        </w:rPr>
      </w:pPr>
      <w:r>
        <w:rPr>
          <w:sz w:val="24"/>
          <w:szCs w:val="24"/>
        </w:rPr>
        <w:t>被授权人身份证号码：</w:t>
      </w:r>
      <w:r>
        <w:rPr>
          <w:rFonts w:eastAsia="Times New Roman"/>
          <w:sz w:val="24"/>
          <w:szCs w:val="24"/>
          <w:u w:val="single"/>
        </w:rPr>
        <w:t xml:space="preserve">              </w:t>
      </w:r>
    </w:p>
    <w:p w14:paraId="7A2E8FF4">
      <w:pPr>
        <w:snapToGrid w:val="0"/>
        <w:rPr>
          <w:sz w:val="24"/>
          <w:szCs w:val="24"/>
        </w:rPr>
      </w:pPr>
    </w:p>
    <w:p w14:paraId="626670CD">
      <w:pPr>
        <w:snapToGrid w:val="0"/>
        <w:rPr>
          <w:sz w:val="24"/>
          <w:szCs w:val="24"/>
        </w:rPr>
      </w:pPr>
      <w:r>
        <w:rPr>
          <w:sz w:val="24"/>
          <w:szCs w:val="24"/>
        </w:rPr>
        <w:t>法定代表人签名：</w:t>
      </w:r>
      <w:r>
        <w:rPr>
          <w:rFonts w:eastAsia="Times New Roman"/>
          <w:sz w:val="24"/>
          <w:szCs w:val="24"/>
          <w:u w:val="single"/>
        </w:rPr>
        <w:t xml:space="preserve">                  </w:t>
      </w:r>
    </w:p>
    <w:p w14:paraId="15198074">
      <w:pPr>
        <w:snapToGrid w:val="0"/>
        <w:rPr>
          <w:sz w:val="24"/>
          <w:szCs w:val="24"/>
        </w:rPr>
      </w:pPr>
      <w:r>
        <w:rPr>
          <w:sz w:val="24"/>
          <w:szCs w:val="24"/>
        </w:rPr>
        <w:t>职</w:t>
      </w:r>
      <w:r>
        <w:rPr>
          <w:rFonts w:eastAsia="Times New Roman"/>
          <w:sz w:val="24"/>
          <w:szCs w:val="24"/>
        </w:rPr>
        <w:t xml:space="preserve">          </w:t>
      </w:r>
      <w:r>
        <w:rPr>
          <w:sz w:val="24"/>
          <w:szCs w:val="24"/>
        </w:rPr>
        <w:t>务：</w:t>
      </w:r>
      <w:r>
        <w:rPr>
          <w:rFonts w:eastAsia="Times New Roman"/>
          <w:sz w:val="24"/>
          <w:szCs w:val="24"/>
          <w:u w:val="single"/>
        </w:rPr>
        <w:t xml:space="preserve">                  </w:t>
      </w:r>
    </w:p>
    <w:p w14:paraId="60809FED">
      <w:pPr>
        <w:snapToGrid w:val="0"/>
        <w:rPr>
          <w:sz w:val="24"/>
          <w:szCs w:val="24"/>
        </w:rPr>
      </w:pPr>
      <w:r>
        <w:rPr>
          <w:sz w:val="24"/>
          <w:szCs w:val="24"/>
        </w:rPr>
        <w:t>身份证号码：</w:t>
      </w:r>
      <w:r>
        <w:rPr>
          <w:rFonts w:eastAsia="Times New Roman"/>
          <w:sz w:val="24"/>
          <w:szCs w:val="24"/>
          <w:u w:val="single"/>
        </w:rPr>
        <w:t xml:space="preserve">                     </w:t>
      </w:r>
    </w:p>
    <w:p w14:paraId="2943B7A8">
      <w:pPr>
        <w:snapToGrid w:val="0"/>
        <w:rPr>
          <w:sz w:val="24"/>
          <w:szCs w:val="24"/>
          <w:u w:val="single"/>
        </w:rPr>
      </w:pPr>
    </w:p>
    <w:p w14:paraId="1CC280F6">
      <w:pPr>
        <w:snapToGrid w:val="0"/>
        <w:rPr>
          <w:sz w:val="24"/>
          <w:szCs w:val="24"/>
        </w:rPr>
      </w:pPr>
      <w:r>
        <w:rPr>
          <w:sz w:val="24"/>
          <w:szCs w:val="24"/>
        </w:rPr>
        <w:t>投标人公章：</w:t>
      </w:r>
      <w:r>
        <w:rPr>
          <w:rFonts w:eastAsia="Times New Roman"/>
          <w:sz w:val="24"/>
          <w:szCs w:val="24"/>
          <w:u w:val="single"/>
        </w:rPr>
        <w:t xml:space="preserve">                     </w:t>
      </w:r>
    </w:p>
    <w:p w14:paraId="6DF05839">
      <w:pPr>
        <w:rPr>
          <w:sz w:val="24"/>
          <w:szCs w:val="24"/>
        </w:rPr>
      </w:pPr>
      <w:r>
        <w:rPr>
          <w:sz w:val="24"/>
          <w:szCs w:val="24"/>
        </w:rPr>
        <w:t>签署时间：</w:t>
      </w:r>
      <w:r>
        <w:rPr>
          <w:rFonts w:eastAsia="Times New Roman"/>
          <w:sz w:val="24"/>
          <w:szCs w:val="24"/>
        </w:rPr>
        <w:t xml:space="preserve">   </w:t>
      </w:r>
      <w:r>
        <w:rPr>
          <w:sz w:val="24"/>
          <w:szCs w:val="24"/>
        </w:rPr>
        <w:t>年</w:t>
      </w:r>
      <w:r>
        <w:rPr>
          <w:rFonts w:eastAsia="Times New Roman"/>
          <w:sz w:val="24"/>
          <w:szCs w:val="24"/>
        </w:rPr>
        <w:t xml:space="preserve">    </w:t>
      </w:r>
      <w:r>
        <w:rPr>
          <w:sz w:val="24"/>
          <w:szCs w:val="24"/>
        </w:rPr>
        <w:t>月</w:t>
      </w:r>
      <w:r>
        <w:rPr>
          <w:rFonts w:eastAsia="Times New Roman"/>
          <w:sz w:val="24"/>
          <w:szCs w:val="24"/>
        </w:rPr>
        <w:t xml:space="preserve">    </w:t>
      </w:r>
      <w:r>
        <w:rPr>
          <w:sz w:val="24"/>
          <w:szCs w:val="24"/>
        </w:rPr>
        <w:t>日</w:t>
      </w:r>
    </w:p>
    <w:p w14:paraId="1348CAD5">
      <w:pPr>
        <w:rPr>
          <w:sz w:val="24"/>
          <w:szCs w:val="24"/>
        </w:rPr>
      </w:pPr>
    </w:p>
    <w:p w14:paraId="6852047E">
      <w:pPr>
        <w:rPr>
          <w:sz w:val="24"/>
          <w:szCs w:val="24"/>
        </w:rPr>
      </w:pPr>
      <w:r>
        <w:rPr>
          <w:sz w:val="24"/>
          <w:szCs w:val="24"/>
        </w:rPr>
        <w:t>附：</w:t>
      </w:r>
    </w:p>
    <w:tbl>
      <w:tblPr>
        <w:tblStyle w:val="18"/>
        <w:tblW w:w="0" w:type="auto"/>
        <w:tblInd w:w="268" w:type="dxa"/>
        <w:tblLayout w:type="fixed"/>
        <w:tblCellMar>
          <w:top w:w="0" w:type="dxa"/>
          <w:left w:w="108" w:type="dxa"/>
          <w:bottom w:w="0" w:type="dxa"/>
          <w:right w:w="108" w:type="dxa"/>
        </w:tblCellMar>
      </w:tblPr>
      <w:tblGrid>
        <w:gridCol w:w="2700"/>
        <w:gridCol w:w="2340"/>
        <w:gridCol w:w="2740"/>
      </w:tblGrid>
      <w:tr w14:paraId="579B548A">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5C71FF59">
            <w:pPr>
              <w:rPr>
                <w:sz w:val="24"/>
                <w:szCs w:val="24"/>
              </w:rPr>
            </w:pPr>
            <w:r>
              <w:rPr>
                <w:sz w:val="24"/>
                <w:szCs w:val="24"/>
              </w:rPr>
              <w:t>被授权人身份证复印件</w:t>
            </w:r>
          </w:p>
          <w:p w14:paraId="69D13BFE">
            <w:pPr>
              <w:rPr>
                <w:sz w:val="24"/>
                <w:szCs w:val="24"/>
              </w:rPr>
            </w:pPr>
            <w:r>
              <w:rPr>
                <w:rFonts w:hint="eastAsia"/>
                <w:sz w:val="24"/>
                <w:szCs w:val="24"/>
              </w:rPr>
              <w:t>正面</w:t>
            </w:r>
          </w:p>
        </w:tc>
        <w:tc>
          <w:tcPr>
            <w:tcW w:w="2340" w:type="dxa"/>
            <w:tcBorders>
              <w:left w:val="single" w:color="000000" w:sz="4" w:space="0"/>
            </w:tcBorders>
            <w:shd w:val="clear" w:color="auto" w:fill="auto"/>
          </w:tcPr>
          <w:p w14:paraId="28715B56">
            <w:pPr>
              <w:widowControl/>
              <w:snapToGrid w:val="0"/>
              <w:jc w:val="left"/>
              <w:rPr>
                <w:sz w:val="24"/>
                <w:szCs w:val="24"/>
              </w:rPr>
            </w:pPr>
          </w:p>
          <w:p w14:paraId="2D1819F2">
            <w:pPr>
              <w:rPr>
                <w:sz w:val="24"/>
                <w:szCs w:val="24"/>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3CBE78A6">
            <w:pPr>
              <w:rPr>
                <w:sz w:val="24"/>
                <w:szCs w:val="24"/>
              </w:rPr>
            </w:pPr>
            <w:r>
              <w:rPr>
                <w:sz w:val="24"/>
                <w:szCs w:val="24"/>
              </w:rPr>
              <w:t>被授权人身份证复印件</w:t>
            </w:r>
          </w:p>
          <w:p w14:paraId="5408A707">
            <w:pPr>
              <w:rPr>
                <w:sz w:val="24"/>
                <w:szCs w:val="24"/>
              </w:rPr>
            </w:pPr>
            <w:r>
              <w:rPr>
                <w:rFonts w:hint="eastAsia"/>
                <w:sz w:val="24"/>
                <w:szCs w:val="24"/>
              </w:rPr>
              <w:t>反面</w:t>
            </w:r>
          </w:p>
        </w:tc>
      </w:tr>
    </w:tbl>
    <w:p w14:paraId="2371335D">
      <w:pPr>
        <w:rPr>
          <w:sz w:val="24"/>
          <w:szCs w:val="24"/>
        </w:rPr>
      </w:pPr>
    </w:p>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S?o｡ﾀ?">
    <w:altName w:val="Yu Gothic"/>
    <w:panose1 w:val="00000000000000000000"/>
    <w:charset w:val="80"/>
    <w:family w:val="moder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4885DF4"/>
    <w:multiLevelType w:val="multilevel"/>
    <w:tmpl w:val="44885DF4"/>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7B3B521E"/>
    <w:multiLevelType w:val="multilevel"/>
    <w:tmpl w:val="7B3B521E"/>
    <w:lvl w:ilvl="0" w:tentative="0">
      <w:start w:val="1"/>
      <w:numFmt w:val="japaneseCounting"/>
      <w:lvlText w:val="%1、"/>
      <w:lvlJc w:val="left"/>
      <w:pPr>
        <w:tabs>
          <w:tab w:val="left" w:pos="480"/>
        </w:tabs>
        <w:ind w:left="480" w:hanging="480"/>
      </w:pPr>
      <w:rPr>
        <w:rFonts w:hint="eastAsia"/>
        <w:b w:val="0"/>
        <w:bCs w:val="0"/>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2NmExNTQyZThkZWE3ZWU4OGEwNDkzOWVlNjVlMzEifQ=="/>
  </w:docVars>
  <w:rsids>
    <w:rsidRoot w:val="00E60A8E"/>
    <w:rsid w:val="00031AB2"/>
    <w:rsid w:val="00041C0B"/>
    <w:rsid w:val="00073F30"/>
    <w:rsid w:val="000A31D3"/>
    <w:rsid w:val="000B38E4"/>
    <w:rsid w:val="000C4D30"/>
    <w:rsid w:val="000D3BA1"/>
    <w:rsid w:val="000D75FE"/>
    <w:rsid w:val="000E25F7"/>
    <w:rsid w:val="001211A9"/>
    <w:rsid w:val="001500B4"/>
    <w:rsid w:val="00174223"/>
    <w:rsid w:val="0018099E"/>
    <w:rsid w:val="00191912"/>
    <w:rsid w:val="00197827"/>
    <w:rsid w:val="00213505"/>
    <w:rsid w:val="002216A4"/>
    <w:rsid w:val="002301F4"/>
    <w:rsid w:val="002364AC"/>
    <w:rsid w:val="002A506B"/>
    <w:rsid w:val="002A7011"/>
    <w:rsid w:val="002B78F3"/>
    <w:rsid w:val="002D5D99"/>
    <w:rsid w:val="00300C47"/>
    <w:rsid w:val="00301579"/>
    <w:rsid w:val="00337CE1"/>
    <w:rsid w:val="00341D68"/>
    <w:rsid w:val="00353487"/>
    <w:rsid w:val="003632DE"/>
    <w:rsid w:val="0037334C"/>
    <w:rsid w:val="003901F1"/>
    <w:rsid w:val="00394484"/>
    <w:rsid w:val="003A51B9"/>
    <w:rsid w:val="003A6F42"/>
    <w:rsid w:val="003C47FC"/>
    <w:rsid w:val="003E33CF"/>
    <w:rsid w:val="004538EC"/>
    <w:rsid w:val="00477330"/>
    <w:rsid w:val="004916DB"/>
    <w:rsid w:val="004C07E7"/>
    <w:rsid w:val="004D1C4B"/>
    <w:rsid w:val="004F42F8"/>
    <w:rsid w:val="00502E16"/>
    <w:rsid w:val="00536181"/>
    <w:rsid w:val="00555E8A"/>
    <w:rsid w:val="00596F08"/>
    <w:rsid w:val="005C2BDD"/>
    <w:rsid w:val="005C4726"/>
    <w:rsid w:val="005D628B"/>
    <w:rsid w:val="005F6BEB"/>
    <w:rsid w:val="00610187"/>
    <w:rsid w:val="006157BC"/>
    <w:rsid w:val="0061633F"/>
    <w:rsid w:val="00623FF3"/>
    <w:rsid w:val="006479CA"/>
    <w:rsid w:val="006615B6"/>
    <w:rsid w:val="00684F5B"/>
    <w:rsid w:val="006B4FC0"/>
    <w:rsid w:val="006C33D1"/>
    <w:rsid w:val="006F235C"/>
    <w:rsid w:val="007106FD"/>
    <w:rsid w:val="0072454E"/>
    <w:rsid w:val="00731BA0"/>
    <w:rsid w:val="00737FED"/>
    <w:rsid w:val="007A41F9"/>
    <w:rsid w:val="007C6A9F"/>
    <w:rsid w:val="007D6B98"/>
    <w:rsid w:val="007E20DF"/>
    <w:rsid w:val="007E51E0"/>
    <w:rsid w:val="007F77BE"/>
    <w:rsid w:val="00803311"/>
    <w:rsid w:val="00820C2A"/>
    <w:rsid w:val="00856F58"/>
    <w:rsid w:val="00861A84"/>
    <w:rsid w:val="0087133B"/>
    <w:rsid w:val="008862C3"/>
    <w:rsid w:val="00891A88"/>
    <w:rsid w:val="008C01A8"/>
    <w:rsid w:val="008D7403"/>
    <w:rsid w:val="00907001"/>
    <w:rsid w:val="0092578A"/>
    <w:rsid w:val="00930763"/>
    <w:rsid w:val="00930E25"/>
    <w:rsid w:val="00942598"/>
    <w:rsid w:val="00954E31"/>
    <w:rsid w:val="009577AD"/>
    <w:rsid w:val="00970201"/>
    <w:rsid w:val="009A14A3"/>
    <w:rsid w:val="009C1678"/>
    <w:rsid w:val="00A00077"/>
    <w:rsid w:val="00A11B6B"/>
    <w:rsid w:val="00A14912"/>
    <w:rsid w:val="00A525AC"/>
    <w:rsid w:val="00A53255"/>
    <w:rsid w:val="00A767F9"/>
    <w:rsid w:val="00A91E19"/>
    <w:rsid w:val="00AA0FAF"/>
    <w:rsid w:val="00AC0C02"/>
    <w:rsid w:val="00AC353E"/>
    <w:rsid w:val="00AD1552"/>
    <w:rsid w:val="00AF5AD2"/>
    <w:rsid w:val="00B01689"/>
    <w:rsid w:val="00B31113"/>
    <w:rsid w:val="00B33444"/>
    <w:rsid w:val="00B33D89"/>
    <w:rsid w:val="00B46AED"/>
    <w:rsid w:val="00B52057"/>
    <w:rsid w:val="00BC7BDD"/>
    <w:rsid w:val="00BD55E7"/>
    <w:rsid w:val="00BF2CAD"/>
    <w:rsid w:val="00C02DCC"/>
    <w:rsid w:val="00C03703"/>
    <w:rsid w:val="00C0655B"/>
    <w:rsid w:val="00C31BDF"/>
    <w:rsid w:val="00C44FAF"/>
    <w:rsid w:val="00C47727"/>
    <w:rsid w:val="00C47BDA"/>
    <w:rsid w:val="00CA7D74"/>
    <w:rsid w:val="00CC6D06"/>
    <w:rsid w:val="00CE3C03"/>
    <w:rsid w:val="00CF6764"/>
    <w:rsid w:val="00D1515B"/>
    <w:rsid w:val="00D17D9C"/>
    <w:rsid w:val="00D351C9"/>
    <w:rsid w:val="00D77EC1"/>
    <w:rsid w:val="00D81EAC"/>
    <w:rsid w:val="00D83235"/>
    <w:rsid w:val="00D93848"/>
    <w:rsid w:val="00D942D4"/>
    <w:rsid w:val="00DC4608"/>
    <w:rsid w:val="00DC690D"/>
    <w:rsid w:val="00DE445A"/>
    <w:rsid w:val="00DF3D10"/>
    <w:rsid w:val="00E05ED4"/>
    <w:rsid w:val="00E14866"/>
    <w:rsid w:val="00E15185"/>
    <w:rsid w:val="00E15C52"/>
    <w:rsid w:val="00E203C5"/>
    <w:rsid w:val="00E21F52"/>
    <w:rsid w:val="00E275C5"/>
    <w:rsid w:val="00E354EE"/>
    <w:rsid w:val="00E35CB5"/>
    <w:rsid w:val="00E55748"/>
    <w:rsid w:val="00E60A8E"/>
    <w:rsid w:val="00E61E70"/>
    <w:rsid w:val="00E75F91"/>
    <w:rsid w:val="00EB52A0"/>
    <w:rsid w:val="00ED640B"/>
    <w:rsid w:val="00F06E80"/>
    <w:rsid w:val="00F51CA6"/>
    <w:rsid w:val="00FD6D1B"/>
    <w:rsid w:val="00FF3C98"/>
    <w:rsid w:val="01457570"/>
    <w:rsid w:val="02201D8C"/>
    <w:rsid w:val="03191BFF"/>
    <w:rsid w:val="03B409DD"/>
    <w:rsid w:val="03B804CE"/>
    <w:rsid w:val="04A62A1C"/>
    <w:rsid w:val="04D22BBD"/>
    <w:rsid w:val="058F1702"/>
    <w:rsid w:val="060D2627"/>
    <w:rsid w:val="065008BE"/>
    <w:rsid w:val="065564A8"/>
    <w:rsid w:val="06915006"/>
    <w:rsid w:val="07373DFF"/>
    <w:rsid w:val="0A0B50CF"/>
    <w:rsid w:val="0AF73FD1"/>
    <w:rsid w:val="0B3841C4"/>
    <w:rsid w:val="0B3A3EBE"/>
    <w:rsid w:val="0B6902FF"/>
    <w:rsid w:val="0BA53A2D"/>
    <w:rsid w:val="0C41127C"/>
    <w:rsid w:val="0C851169"/>
    <w:rsid w:val="0C9C64B3"/>
    <w:rsid w:val="0CBA3508"/>
    <w:rsid w:val="0F36499C"/>
    <w:rsid w:val="0FE8038D"/>
    <w:rsid w:val="107C2883"/>
    <w:rsid w:val="10F95E17"/>
    <w:rsid w:val="110C1E59"/>
    <w:rsid w:val="116E2B13"/>
    <w:rsid w:val="11904838"/>
    <w:rsid w:val="127037F3"/>
    <w:rsid w:val="12BC340B"/>
    <w:rsid w:val="137361BF"/>
    <w:rsid w:val="13A24CF6"/>
    <w:rsid w:val="14213E6D"/>
    <w:rsid w:val="14525375"/>
    <w:rsid w:val="14740441"/>
    <w:rsid w:val="148D1503"/>
    <w:rsid w:val="16C95E47"/>
    <w:rsid w:val="17BD5C5B"/>
    <w:rsid w:val="195E16BF"/>
    <w:rsid w:val="1A2C531A"/>
    <w:rsid w:val="1B59213E"/>
    <w:rsid w:val="1BA15893"/>
    <w:rsid w:val="1BAD4238"/>
    <w:rsid w:val="1BB25886"/>
    <w:rsid w:val="1C7A7635"/>
    <w:rsid w:val="1CD86444"/>
    <w:rsid w:val="1DE3308C"/>
    <w:rsid w:val="1DF42A45"/>
    <w:rsid w:val="1E3649B9"/>
    <w:rsid w:val="1EC257FC"/>
    <w:rsid w:val="1ED0096A"/>
    <w:rsid w:val="1FE521F3"/>
    <w:rsid w:val="209A7315"/>
    <w:rsid w:val="21E51616"/>
    <w:rsid w:val="22827207"/>
    <w:rsid w:val="22D67A65"/>
    <w:rsid w:val="22E569AE"/>
    <w:rsid w:val="23256DAA"/>
    <w:rsid w:val="232C0139"/>
    <w:rsid w:val="234E3576"/>
    <w:rsid w:val="238B1303"/>
    <w:rsid w:val="23D04F68"/>
    <w:rsid w:val="240F3CE2"/>
    <w:rsid w:val="2422262F"/>
    <w:rsid w:val="24303C58"/>
    <w:rsid w:val="244A2F52"/>
    <w:rsid w:val="2492046F"/>
    <w:rsid w:val="25EF7081"/>
    <w:rsid w:val="27201D62"/>
    <w:rsid w:val="2890116A"/>
    <w:rsid w:val="29FA0F90"/>
    <w:rsid w:val="2A522B7B"/>
    <w:rsid w:val="2A557F75"/>
    <w:rsid w:val="2A6428AE"/>
    <w:rsid w:val="2A894881"/>
    <w:rsid w:val="2B0C0F7B"/>
    <w:rsid w:val="2B42499D"/>
    <w:rsid w:val="2BD870AF"/>
    <w:rsid w:val="2C866F68"/>
    <w:rsid w:val="2CB74F17"/>
    <w:rsid w:val="2D2307FE"/>
    <w:rsid w:val="2D4D587B"/>
    <w:rsid w:val="2D6F57F1"/>
    <w:rsid w:val="2D856DC3"/>
    <w:rsid w:val="2D900281"/>
    <w:rsid w:val="2DD44384"/>
    <w:rsid w:val="2DD94F49"/>
    <w:rsid w:val="2F3E191F"/>
    <w:rsid w:val="2FC040E2"/>
    <w:rsid w:val="300136E6"/>
    <w:rsid w:val="301D32E3"/>
    <w:rsid w:val="304E5B92"/>
    <w:rsid w:val="308C66BA"/>
    <w:rsid w:val="31833619"/>
    <w:rsid w:val="325D3E6B"/>
    <w:rsid w:val="32BD6FFF"/>
    <w:rsid w:val="32EA0E12"/>
    <w:rsid w:val="333C43C8"/>
    <w:rsid w:val="33897D5A"/>
    <w:rsid w:val="347B0F20"/>
    <w:rsid w:val="35E84393"/>
    <w:rsid w:val="36247071"/>
    <w:rsid w:val="36BF0AE0"/>
    <w:rsid w:val="37023232"/>
    <w:rsid w:val="371116C7"/>
    <w:rsid w:val="37A91900"/>
    <w:rsid w:val="384A30E3"/>
    <w:rsid w:val="38682C15"/>
    <w:rsid w:val="3975613D"/>
    <w:rsid w:val="39B90520"/>
    <w:rsid w:val="3A103EB8"/>
    <w:rsid w:val="3A2636DC"/>
    <w:rsid w:val="3A2D4A6A"/>
    <w:rsid w:val="3ABD5DEE"/>
    <w:rsid w:val="3B5D6D63"/>
    <w:rsid w:val="3C152895"/>
    <w:rsid w:val="3D0715A3"/>
    <w:rsid w:val="3D107420"/>
    <w:rsid w:val="3D31661F"/>
    <w:rsid w:val="3E5527E2"/>
    <w:rsid w:val="3E9D2D59"/>
    <w:rsid w:val="3EC226A5"/>
    <w:rsid w:val="3EF01478"/>
    <w:rsid w:val="3F84512C"/>
    <w:rsid w:val="3FFD0A3B"/>
    <w:rsid w:val="403D52DB"/>
    <w:rsid w:val="409C64A6"/>
    <w:rsid w:val="446E0159"/>
    <w:rsid w:val="44D81A76"/>
    <w:rsid w:val="46192347"/>
    <w:rsid w:val="46B45FFB"/>
    <w:rsid w:val="48321620"/>
    <w:rsid w:val="4A450716"/>
    <w:rsid w:val="4A8B28EE"/>
    <w:rsid w:val="4AC05487"/>
    <w:rsid w:val="4B157580"/>
    <w:rsid w:val="4DA71969"/>
    <w:rsid w:val="4DE35714"/>
    <w:rsid w:val="4DE66FB2"/>
    <w:rsid w:val="4E54544E"/>
    <w:rsid w:val="4EC95085"/>
    <w:rsid w:val="4F490FAE"/>
    <w:rsid w:val="4FA42C81"/>
    <w:rsid w:val="4FB235F0"/>
    <w:rsid w:val="50096F88"/>
    <w:rsid w:val="50BD049E"/>
    <w:rsid w:val="510F4A72"/>
    <w:rsid w:val="51954F77"/>
    <w:rsid w:val="523911F2"/>
    <w:rsid w:val="52520FF6"/>
    <w:rsid w:val="531B76FE"/>
    <w:rsid w:val="54120B01"/>
    <w:rsid w:val="54B5148C"/>
    <w:rsid w:val="55052414"/>
    <w:rsid w:val="562B7F1D"/>
    <w:rsid w:val="56663613"/>
    <w:rsid w:val="56C1092C"/>
    <w:rsid w:val="56F02C50"/>
    <w:rsid w:val="57034731"/>
    <w:rsid w:val="57482141"/>
    <w:rsid w:val="5773785B"/>
    <w:rsid w:val="579D4B86"/>
    <w:rsid w:val="583A6878"/>
    <w:rsid w:val="585F3D80"/>
    <w:rsid w:val="58630892"/>
    <w:rsid w:val="58900246"/>
    <w:rsid w:val="5A600155"/>
    <w:rsid w:val="5AB3021C"/>
    <w:rsid w:val="5C3D6937"/>
    <w:rsid w:val="5C8C51C9"/>
    <w:rsid w:val="5CF039A9"/>
    <w:rsid w:val="5D5A52C7"/>
    <w:rsid w:val="5E5D6E1D"/>
    <w:rsid w:val="5EFE57DA"/>
    <w:rsid w:val="5F3C589A"/>
    <w:rsid w:val="5F4B136B"/>
    <w:rsid w:val="608C5797"/>
    <w:rsid w:val="60C4247B"/>
    <w:rsid w:val="610F538E"/>
    <w:rsid w:val="63CB14CA"/>
    <w:rsid w:val="63F847A6"/>
    <w:rsid w:val="64171C7D"/>
    <w:rsid w:val="64B74DAD"/>
    <w:rsid w:val="64B92BFE"/>
    <w:rsid w:val="64EF4C74"/>
    <w:rsid w:val="65760A7C"/>
    <w:rsid w:val="65B5753E"/>
    <w:rsid w:val="678C42CF"/>
    <w:rsid w:val="67EB7247"/>
    <w:rsid w:val="68CC52CB"/>
    <w:rsid w:val="692259E9"/>
    <w:rsid w:val="69234861"/>
    <w:rsid w:val="6933534A"/>
    <w:rsid w:val="69584DB0"/>
    <w:rsid w:val="6AAB0BF3"/>
    <w:rsid w:val="6B5B0B88"/>
    <w:rsid w:val="6BF51140"/>
    <w:rsid w:val="6C4D2423"/>
    <w:rsid w:val="6CB467A2"/>
    <w:rsid w:val="6DAD7ECB"/>
    <w:rsid w:val="6E386F5E"/>
    <w:rsid w:val="6E3A0F28"/>
    <w:rsid w:val="6EBA5BC5"/>
    <w:rsid w:val="6EC26821"/>
    <w:rsid w:val="6F5C4ECE"/>
    <w:rsid w:val="6FBE7937"/>
    <w:rsid w:val="70001CFE"/>
    <w:rsid w:val="703A79ED"/>
    <w:rsid w:val="707F0E75"/>
    <w:rsid w:val="715E05F2"/>
    <w:rsid w:val="71C34D91"/>
    <w:rsid w:val="72477770"/>
    <w:rsid w:val="730B69EF"/>
    <w:rsid w:val="733F0D8F"/>
    <w:rsid w:val="73C3376E"/>
    <w:rsid w:val="75022074"/>
    <w:rsid w:val="76DD06A3"/>
    <w:rsid w:val="776E49BD"/>
    <w:rsid w:val="77972F48"/>
    <w:rsid w:val="78C37D6C"/>
    <w:rsid w:val="79C30024"/>
    <w:rsid w:val="7B63008D"/>
    <w:rsid w:val="7D495861"/>
    <w:rsid w:val="7EEA6053"/>
    <w:rsid w:val="7F2D7CEE"/>
    <w:rsid w:val="7FB441AD"/>
    <w:rsid w:val="7FCF0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keepNext/>
      <w:keepLines/>
      <w:tabs>
        <w:tab w:val="left" w:pos="432"/>
      </w:tabs>
      <w:spacing w:before="340" w:afterLines="50" w:line="576" w:lineRule="auto"/>
      <w:ind w:left="432" w:hanging="432"/>
    </w:pPr>
    <w:rPr>
      <w:rFonts w:ascii="???|CS?o｡ﾀ?" w:hAnsi="???|CS?o｡ﾀ?" w:eastAsia="Tahoma"/>
      <w:spacing w:val="20"/>
      <w:kern w:val="44"/>
      <w:sz w:val="36"/>
      <w:lang w:val="zh-CN"/>
    </w:rPr>
  </w:style>
  <w:style w:type="paragraph" w:styleId="4">
    <w:name w:val="heading 2"/>
    <w:basedOn w:val="1"/>
    <w:next w:val="1"/>
    <w:link w:val="24"/>
    <w:qFormat/>
    <w:uiPriority w:val="0"/>
    <w:pPr>
      <w:tabs>
        <w:tab w:val="left" w:pos="432"/>
      </w:tabs>
      <w:snapToGrid w:val="0"/>
      <w:spacing w:line="300" w:lineRule="auto"/>
      <w:ind w:firstLine="200" w:firstLineChars="200"/>
      <w:outlineLvl w:val="1"/>
    </w:pPr>
    <w:rPr>
      <w:rFonts w:ascii="Arial" w:hAnsi="Arial" w:eastAsia="宋体"/>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paragraph" w:styleId="6">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0"/>
    <w:pPr>
      <w:spacing w:before="240" w:after="60"/>
      <w:jc w:val="center"/>
      <w:outlineLvl w:val="0"/>
    </w:pPr>
    <w:rPr>
      <w:rFonts w:ascii="Calibri Light" w:hAnsi="Calibri Light" w:cs="Times New Roman"/>
      <w:b/>
      <w:bCs/>
      <w:sz w:val="32"/>
      <w:szCs w:val="32"/>
    </w:rPr>
  </w:style>
  <w:style w:type="paragraph" w:styleId="7">
    <w:name w:val="Normal Indent"/>
    <w:basedOn w:val="1"/>
    <w:qFormat/>
    <w:uiPriority w:val="0"/>
    <w:pPr>
      <w:ind w:firstLine="420"/>
    </w:pPr>
    <w:rPr>
      <w:rFonts w:eastAsia="宋体"/>
    </w:rPr>
  </w:style>
  <w:style w:type="paragraph" w:styleId="8">
    <w:name w:val="annotation text"/>
    <w:basedOn w:val="1"/>
    <w:link w:val="37"/>
    <w:semiHidden/>
    <w:unhideWhenUsed/>
    <w:qFormat/>
    <w:uiPriority w:val="99"/>
    <w:pPr>
      <w:jc w:val="left"/>
    </w:pPr>
  </w:style>
  <w:style w:type="paragraph" w:styleId="9">
    <w:name w:val="Body Text"/>
    <w:basedOn w:val="1"/>
    <w:qFormat/>
    <w:uiPriority w:val="0"/>
    <w:pPr>
      <w:adjustRightInd w:val="0"/>
      <w:spacing w:line="315" w:lineRule="atLeast"/>
      <w:jc w:val="left"/>
      <w:textAlignment w:val="baseline"/>
    </w:pPr>
    <w:rPr>
      <w:rFonts w:ascii="仿宋_GB2312" w:eastAsia="仿宋_GB2312"/>
      <w:kern w:val="0"/>
      <w:sz w:val="28"/>
      <w:szCs w:val="20"/>
    </w:rPr>
  </w:style>
  <w:style w:type="paragraph" w:styleId="10">
    <w:name w:val="Body Text Indent"/>
    <w:basedOn w:val="1"/>
    <w:semiHidden/>
    <w:unhideWhenUsed/>
    <w:qFormat/>
    <w:uiPriority w:val="99"/>
    <w:pPr>
      <w:spacing w:after="120"/>
      <w:ind w:left="420" w:leftChars="200"/>
    </w:pPr>
  </w:style>
  <w:style w:type="paragraph" w:styleId="11">
    <w:name w:val="Plain Text"/>
    <w:basedOn w:val="1"/>
    <w:link w:val="29"/>
    <w:unhideWhenUsed/>
    <w:qFormat/>
    <w:uiPriority w:val="0"/>
    <w:rPr>
      <w:rFonts w:ascii="宋体" w:hAnsi="Courier New" w:eastAsia="宋体" w:cs="Times New Roman"/>
      <w:szCs w:val="20"/>
    </w:rPr>
  </w:style>
  <w:style w:type="paragraph" w:styleId="12">
    <w:name w:val="Balloon Text"/>
    <w:basedOn w:val="1"/>
    <w:link w:val="39"/>
    <w:semiHidden/>
    <w:unhideWhenUsed/>
    <w:qFormat/>
    <w:uiPriority w:val="99"/>
    <w:pPr>
      <w:spacing w:line="240" w:lineRule="auto"/>
    </w:pPr>
    <w:rPr>
      <w:sz w:val="18"/>
      <w:szCs w:val="18"/>
    </w:rPr>
  </w:style>
  <w:style w:type="paragraph" w:styleId="13">
    <w:name w:val="footer"/>
    <w:basedOn w:val="1"/>
    <w:link w:val="26"/>
    <w:unhideWhenUsed/>
    <w:qFormat/>
    <w:uiPriority w:val="99"/>
    <w:pPr>
      <w:tabs>
        <w:tab w:val="center" w:pos="4153"/>
        <w:tab w:val="right" w:pos="8306"/>
      </w:tabs>
      <w:snapToGrid w:val="0"/>
      <w:spacing w:line="240" w:lineRule="auto"/>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5">
    <w:name w:val="HTML Preformatted"/>
    <w:basedOn w:val="1"/>
    <w:link w:val="2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hAnsi="Arial" w:eastAsia="宋体" w:cs="Arial"/>
      <w:kern w:val="0"/>
      <w:sz w:val="24"/>
      <w:szCs w:val="24"/>
    </w:rPr>
  </w:style>
  <w:style w:type="paragraph" w:styleId="16">
    <w:name w:val="annotation subject"/>
    <w:basedOn w:val="8"/>
    <w:next w:val="8"/>
    <w:link w:val="38"/>
    <w:semiHidden/>
    <w:unhideWhenUsed/>
    <w:qFormat/>
    <w:uiPriority w:val="99"/>
    <w:rPr>
      <w:b/>
      <w:bCs/>
    </w:rPr>
  </w:style>
  <w:style w:type="paragraph" w:styleId="17">
    <w:name w:val="Body Text First Indent 2"/>
    <w:basedOn w:val="10"/>
    <w:semiHidden/>
    <w:unhideWhenUsed/>
    <w:qFormat/>
    <w:uiPriority w:val="99"/>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annotation reference"/>
    <w:basedOn w:val="20"/>
    <w:semiHidden/>
    <w:unhideWhenUsed/>
    <w:qFormat/>
    <w:uiPriority w:val="99"/>
    <w:rPr>
      <w:sz w:val="21"/>
      <w:szCs w:val="21"/>
    </w:rPr>
  </w:style>
  <w:style w:type="character" w:customStyle="1" w:styleId="22">
    <w:name w:val="样式1 Char Char"/>
    <w:link w:val="23"/>
    <w:qFormat/>
    <w:uiPriority w:val="0"/>
    <w:rPr>
      <w:rFonts w:ascii="Arial" w:hAnsi="Arial" w:eastAsia="宋体"/>
      <w:szCs w:val="24"/>
    </w:rPr>
  </w:style>
  <w:style w:type="paragraph" w:customStyle="1" w:styleId="23">
    <w:name w:val="样式1"/>
    <w:basedOn w:val="1"/>
    <w:link w:val="22"/>
    <w:qFormat/>
    <w:uiPriority w:val="0"/>
    <w:pPr>
      <w:spacing w:line="360" w:lineRule="exact"/>
      <w:ind w:firstLine="200" w:firstLineChars="200"/>
    </w:pPr>
    <w:rPr>
      <w:rFonts w:ascii="Arial" w:hAnsi="Arial" w:eastAsia="宋体"/>
      <w:szCs w:val="24"/>
    </w:rPr>
  </w:style>
  <w:style w:type="character" w:customStyle="1" w:styleId="24">
    <w:name w:val="标题 2 字符"/>
    <w:basedOn w:val="20"/>
    <w:link w:val="4"/>
    <w:qFormat/>
    <w:uiPriority w:val="0"/>
    <w:rPr>
      <w:rFonts w:ascii="Arial" w:hAnsi="Arial" w:eastAsia="宋体" w:cs="Times New Roman"/>
      <w:b/>
      <w:bCs/>
      <w:szCs w:val="32"/>
    </w:rPr>
  </w:style>
  <w:style w:type="character" w:customStyle="1" w:styleId="25">
    <w:name w:val="页眉 字符"/>
    <w:basedOn w:val="20"/>
    <w:link w:val="14"/>
    <w:qFormat/>
    <w:uiPriority w:val="99"/>
    <w:rPr>
      <w:sz w:val="18"/>
      <w:szCs w:val="18"/>
    </w:rPr>
  </w:style>
  <w:style w:type="character" w:customStyle="1" w:styleId="26">
    <w:name w:val="页脚 字符"/>
    <w:basedOn w:val="20"/>
    <w:link w:val="13"/>
    <w:qFormat/>
    <w:uiPriority w:val="99"/>
    <w:rPr>
      <w:sz w:val="18"/>
      <w:szCs w:val="18"/>
    </w:rPr>
  </w:style>
  <w:style w:type="character" w:customStyle="1" w:styleId="27">
    <w:name w:val="HTML 预设格式 字符"/>
    <w:basedOn w:val="20"/>
    <w:link w:val="15"/>
    <w:qFormat/>
    <w:uiPriority w:val="0"/>
    <w:rPr>
      <w:rFonts w:ascii="Arial" w:hAnsi="Arial" w:eastAsia="宋体" w:cs="Arial"/>
      <w:kern w:val="0"/>
      <w:sz w:val="24"/>
      <w:szCs w:val="24"/>
    </w:rPr>
  </w:style>
  <w:style w:type="paragraph" w:styleId="28">
    <w:name w:val="List Paragraph"/>
    <w:basedOn w:val="1"/>
    <w:qFormat/>
    <w:uiPriority w:val="34"/>
    <w:pPr>
      <w:ind w:firstLine="420" w:firstLineChars="200"/>
    </w:pPr>
  </w:style>
  <w:style w:type="character" w:customStyle="1" w:styleId="29">
    <w:name w:val="纯文本 字符"/>
    <w:basedOn w:val="20"/>
    <w:link w:val="11"/>
    <w:qFormat/>
    <w:uiPriority w:val="0"/>
    <w:rPr>
      <w:rFonts w:ascii="宋体" w:hAnsi="Courier New" w:eastAsia="宋体" w:cs="Times New Roman"/>
      <w:szCs w:val="20"/>
    </w:rPr>
  </w:style>
  <w:style w:type="paragraph" w:customStyle="1" w:styleId="3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1">
    <w:name w:val="国标3级"/>
    <w:basedOn w:val="1"/>
    <w:semiHidden/>
    <w:qFormat/>
    <w:uiPriority w:val="0"/>
    <w:pPr>
      <w:snapToGrid w:val="0"/>
      <w:spacing w:line="312" w:lineRule="exact"/>
    </w:pPr>
    <w:rPr>
      <w:rFonts w:ascii="宋体" w:hAnsi="宋体" w:eastAsia="宋体"/>
      <w:color w:val="000000"/>
    </w:rPr>
  </w:style>
  <w:style w:type="paragraph" w:customStyle="1" w:styleId="32">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
    <w:name w:val="l正文"/>
    <w:basedOn w:val="1"/>
    <w:qFormat/>
    <w:uiPriority w:val="0"/>
    <w:pPr>
      <w:spacing w:line="300" w:lineRule="auto"/>
      <w:ind w:firstLine="200" w:firstLineChars="200"/>
      <w:jc w:val="left"/>
    </w:pPr>
    <w:rPr>
      <w:rFonts w:ascii="楷体_GB2312" w:hAnsi="Times" w:eastAsia="楷体_GB2312" w:cs="等线"/>
      <w:sz w:val="24"/>
    </w:rPr>
  </w:style>
  <w:style w:type="paragraph" w:customStyle="1" w:styleId="34">
    <w:name w:val="Table Paragraph"/>
    <w:next w:val="1"/>
    <w:qFormat/>
    <w:uiPriority w:val="1"/>
    <w:pPr>
      <w:widowControl w:val="0"/>
    </w:pPr>
    <w:rPr>
      <w:rFonts w:ascii="宋体" w:hAnsi="Times New Roman" w:eastAsia="宋体" w:cs="宋体"/>
      <w:sz w:val="22"/>
      <w:szCs w:val="22"/>
      <w:lang w:val="en-US" w:eastAsia="en-US" w:bidi="ar-SA"/>
    </w:rPr>
  </w:style>
  <w:style w:type="paragraph" w:customStyle="1" w:styleId="35">
    <w:name w:val="正文缩进t"/>
    <w:basedOn w:val="1"/>
    <w:link w:val="36"/>
    <w:qFormat/>
    <w:uiPriority w:val="0"/>
    <w:pPr>
      <w:ind w:firstLine="200" w:firstLineChars="200"/>
    </w:pPr>
  </w:style>
  <w:style w:type="character" w:customStyle="1" w:styleId="36">
    <w:name w:val="正文缩进t 字符"/>
    <w:basedOn w:val="20"/>
    <w:link w:val="35"/>
    <w:qFormat/>
    <w:uiPriority w:val="0"/>
  </w:style>
  <w:style w:type="character" w:customStyle="1" w:styleId="37">
    <w:name w:val="批注文字 字符"/>
    <w:basedOn w:val="20"/>
    <w:link w:val="8"/>
    <w:semiHidden/>
    <w:qFormat/>
    <w:uiPriority w:val="99"/>
    <w:rPr>
      <w:rFonts w:asciiTheme="minorHAnsi" w:hAnsiTheme="minorHAnsi" w:eastAsiaTheme="minorEastAsia" w:cstheme="minorBidi"/>
      <w:kern w:val="2"/>
      <w:sz w:val="21"/>
      <w:szCs w:val="22"/>
    </w:rPr>
  </w:style>
  <w:style w:type="character" w:customStyle="1" w:styleId="38">
    <w:name w:val="批注主题 字符"/>
    <w:basedOn w:val="37"/>
    <w:link w:val="16"/>
    <w:semiHidden/>
    <w:qFormat/>
    <w:uiPriority w:val="99"/>
    <w:rPr>
      <w:rFonts w:asciiTheme="minorHAnsi" w:hAnsiTheme="minorHAnsi" w:eastAsiaTheme="minorEastAsia" w:cstheme="minorBidi"/>
      <w:b/>
      <w:bCs/>
      <w:kern w:val="2"/>
      <w:sz w:val="21"/>
      <w:szCs w:val="22"/>
    </w:rPr>
  </w:style>
  <w:style w:type="character" w:customStyle="1" w:styleId="39">
    <w:name w:val="批注框文本 字符"/>
    <w:basedOn w:val="20"/>
    <w:link w:val="1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DFF6B3-7B81-43AA-A9F6-334EB2A5A75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5881</Words>
  <Characters>6217</Characters>
  <Lines>73</Lines>
  <Paragraphs>20</Paragraphs>
  <TotalTime>5</TotalTime>
  <ScaleCrop>false</ScaleCrop>
  <LinksUpToDate>false</LinksUpToDate>
  <CharactersWithSpaces>6314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2023-06-20T03:46:00Z</dcterms:created>
  <dc:creator>You</dc:creator>
  <cp:lastModifiedBy>apple</cp:lastModifiedBy>
  <dcterms:modified xsi:type="dcterms:W3CDTF">2025-09-18T00:33:48Z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eyJoZGlkIjoiNDk5NzU2YmVhZGEzZmRkNDE5MTYwNTA1ZDU4YTg3ZmEiLCJ1c2VySWQiOiIzNjY4NjY3NjQifQ==</vt:lpwstr>
  </property>
  <property fmtid="{D5CDD505-2E9C-101B-9397-08002B2CF9AE}" pid="3" name="KSOProductBuildVer">
    <vt:lpwstr>2052-12.1.0.22529</vt:lpwstr>
  </property>
  <property fmtid="{D5CDD505-2E9C-101B-9397-08002B2CF9AE}" pid="4" name="ICV">
    <vt:lpwstr>45D11D4C82FC4EADA538553F8C497AB6_12</vt:lpwstr>
  </property>
</Properties>
</file>